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80" w:lineRule="exact"/>
        <w:jc w:val="center"/>
        <w:rPr>
          <w:rFonts w:ascii="Times New Roman" w:hAnsi="Times New Roman" w:eastAsia="方正小标宋简体"/>
          <w:color w:val="FF0000"/>
          <w:spacing w:val="40"/>
          <w:w w:val="60"/>
          <w:sz w:val="96"/>
          <w:szCs w:val="96"/>
        </w:rPr>
      </w:pPr>
      <w:bookmarkStart w:id="2" w:name="_GoBack"/>
      <w:bookmarkEnd w:id="2"/>
    </w:p>
    <w:p>
      <w:pPr>
        <w:snapToGrid w:val="0"/>
        <w:jc w:val="center"/>
        <w:rPr>
          <w:rFonts w:ascii="Times New Roman" w:hAnsi="Times New Roman" w:eastAsia="方正小标宋简体"/>
          <w:color w:val="FF0000"/>
          <w:spacing w:val="30"/>
          <w:w w:val="60"/>
          <w:sz w:val="96"/>
          <w:szCs w:val="96"/>
        </w:rPr>
      </w:pPr>
      <w:r>
        <w:rPr>
          <w:rFonts w:ascii="Times New Roman" w:hAnsi="Times New Roman" w:eastAsia="方正小标宋简体"/>
          <w:color w:val="FF0000"/>
          <w:spacing w:val="30"/>
          <w:w w:val="60"/>
          <w:sz w:val="96"/>
          <w:szCs w:val="96"/>
        </w:rPr>
        <w:t>连云港市住房和城乡建设局文件</w:t>
      </w:r>
    </w:p>
    <w:p>
      <w:pPr>
        <w:snapToGrid w:val="0"/>
        <w:spacing w:line="480" w:lineRule="exact"/>
        <w:jc w:val="center"/>
        <w:rPr>
          <w:rFonts w:ascii="Times New Roman" w:hAnsi="Times New Roman" w:eastAsia="仿宋_GB2312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Times New Roman" w:hAnsi="Times New Roman" w:eastAsia="仿宋_GB2312"/>
          <w:sz w:val="40"/>
          <w:szCs w:val="40"/>
        </w:rPr>
      </w:pPr>
    </w:p>
    <w:p>
      <w:pPr>
        <w:tabs>
          <w:tab w:val="left" w:pos="10190"/>
        </w:tabs>
        <w:snapToGrid w:val="0"/>
        <w:spacing w:beforeLines="10" w:line="460" w:lineRule="exact"/>
        <w:ind w:firstLine="305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ascii="Times New Roman" w:hAnsi="Times New Roman" w:eastAsia="仿宋_GB2312"/>
          <w:sz w:val="32"/>
          <w:szCs w:val="32"/>
        </w:rPr>
        <w:t>连建法〔2021〕161号</w:t>
      </w:r>
      <w:bookmarkEnd w:id="0"/>
    </w:p>
    <w:p>
      <w:pPr>
        <w:snapToGrid w:val="0"/>
        <w:spacing w:beforeLines="10" w:line="460" w:lineRule="exact"/>
        <w:rPr>
          <w:rFonts w:ascii="Times New Roman" w:hAnsi="Times New Roman" w:eastAsia="仿宋_GB2312"/>
          <w:sz w:val="44"/>
        </w:rPr>
      </w:pPr>
      <w:r>
        <w:rPr>
          <w:rFonts w:ascii="Times New Roman" w:hAnsi="Times New Roman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13970" r="9525" b="23495"/>
                <wp:wrapNone/>
                <wp:docPr id="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.25pt;margin-top:7.75pt;height:0.05pt;width:438.75pt;z-index:251659264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BUJ4XVAAAABwEAAA8AAAAAAAAAAQAgAAAAIgAAAGRycy9kb3ducmV2LnhtbFBLAQIUABQAAAAI&#10;AIdO4kDsq/tp8AEAAO0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1" w:name="附件"/>
      <w:bookmarkEnd w:id="1"/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连云港市住房和城乡建设局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关于印发《关于深入落实“谁执法谁普法”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工作责任制的实施意见》的通知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局机关各处室，各直属单位：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为认真做好我局普法工作，现将《关于深入落实“谁执法谁普法”工作责任制的实施意见》印发给你们，请认真组织实施。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300" w:lineRule="auto"/>
        <w:ind w:firstLine="622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连云港市住房和城乡建设局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2021年5月21日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ind w:firstLine="133" w:firstLineChars="49"/>
        <w:rPr>
          <w:rFonts w:ascii="Times New Roman" w:hAnsi="Times New Roman"/>
          <w:szCs w:val="21"/>
        </w:rPr>
      </w:pPr>
      <w:r>
        <w:rPr>
          <w:rFonts w:ascii="Times New Roman" w:hAnsi="Times New Roman" w:eastAsia="仿宋_GB2312"/>
          <w:sz w:val="28"/>
          <w:szCs w:val="28"/>
        </w:rPr>
        <w:t xml:space="preserve">连云港市住房和城乡建设局办公室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</w:rPr>
        <w:t>21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21</w:t>
      </w:r>
      <w:r>
        <w:rPr>
          <w:rFonts w:ascii="Times New Roman" w:hAnsi="Times New Roman" w:eastAsia="仿宋_GB2312"/>
          <w:sz w:val="28"/>
          <w:szCs w:val="28"/>
        </w:rPr>
        <w:t xml:space="preserve">日印发 </w:t>
      </w:r>
      <w:r>
        <w:rPr>
          <w:rFonts w:ascii="Times New Roman" w:hAnsi="Times New Roman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-13439775</wp:posOffset>
                </wp:positionV>
                <wp:extent cx="5572125" cy="635"/>
                <wp:effectExtent l="0" t="0" r="0" b="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5pt;height:0.05pt;width:438.75pt;z-index:251661312;mso-width-relative:page;mso-height-relative:page;" filled="f" stroked="t" coordsize="21600,21600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SbG3dkAAAANAQAADwAAAAAAAAABACAAAAAiAAAAZHJzL2Rvd25yZXYueG1sUEsBAhQAFAAA&#10;AAgAh07iQIkIT0fuAQAA7AMAAA4AAAAAAAAAAQAgAAAAK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关于深入落实“谁执法谁普法”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工作责任制的实施意见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22" w:firstLineChars="200"/>
        <w:rPr>
          <w:rFonts w:ascii="Times New Roman" w:hAnsi="Times New Roman" w:eastAsia="仿宋_GB2312"/>
          <w:color w:val="000000"/>
          <w:kern w:val="3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2021年是“十四五”开局之年，是开启全面建设社会主义现代化国家新征程的开局之年，也是“八五”普法启动之年。为认真贯彻落实 “谁执法谁普法”工作责任制的要求，深入开展法治宣传教育工作，全面推进住建领域法治建设，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按照</w:t>
      </w:r>
      <w:r>
        <w:rPr>
          <w:rFonts w:ascii="Times New Roman" w:hAnsi="Times New Roman" w:eastAsia="仿宋_GB2312"/>
          <w:color w:val="000000"/>
          <w:kern w:val="32"/>
          <w:sz w:val="32"/>
          <w:szCs w:val="32"/>
        </w:rPr>
        <w:t>《关于全市深入推进“谁执法谁普法”工作责任制的意见》总体部署，以建设法治政府为目标，进一步加强制度建设，落实“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谁执法谁普法”责任制、国家工作人员学法用法制度</w:t>
      </w:r>
      <w:r>
        <w:rPr>
          <w:rFonts w:ascii="Times New Roman" w:hAnsi="Times New Roman" w:eastAsia="仿宋_GB2312"/>
          <w:color w:val="000000"/>
          <w:kern w:val="32"/>
          <w:sz w:val="32"/>
          <w:szCs w:val="32"/>
        </w:rPr>
        <w:t>，为全面推进全局各项事业发展提供法治保障。</w:t>
      </w:r>
      <w:r>
        <w:rPr>
          <w:rFonts w:ascii="Times New Roman" w:hAnsi="Times New Roman" w:eastAsia="仿宋_GB2312"/>
          <w:sz w:val="32"/>
          <w:szCs w:val="32"/>
        </w:rPr>
        <w:t>结合我局开展普法工作的实际，提出如下实施意见。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一、工作目标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坚持以习近平新时代中国特色社会主义思想为指导，深入贯彻习近平法治思想，全面贯彻党的十九大和十九届二中、三中、四中、五中全会精神及中央全面依法治国工作会议精神，创新落实中央、全省政法工作会议和省委十三届九次全会，市委十二届十一次全会精神，增强“四个意识”、坚定“四个自信”、做到“两个维护”，坚持以人民为中心的发展思想，紧扣让更高水平法治成为连云港核心竞争力的重要标志任务目标，强化系统观念、法治思维、强基导向，启动实施“八五”普法规划，健全普法工作体系，深化法治文化建设，推进普法理念、制度和实践创新发展，进一步增强住建领域普法针对性、实效性，为实现连云港“高质发展、后发先至”提供优质法治保障。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二、工作原则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（一）坚持普法工作和法治实践相结合。</w:t>
      </w:r>
      <w:r>
        <w:rPr>
          <w:rFonts w:ascii="Times New Roman" w:hAnsi="Times New Roman" w:eastAsia="仿宋_GB2312"/>
          <w:sz w:val="32"/>
          <w:szCs w:val="32"/>
        </w:rPr>
        <w:t xml:space="preserve">把法治宣传教育融入到执法工作的各环节和全过程，加强与管理对象、服务对象、执法对象和社会公众互动交流，以严格执法的创新实践推动全民守法。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（二）坚持日常宣传和主题宣传相结合。</w:t>
      </w:r>
      <w:r>
        <w:rPr>
          <w:rFonts w:ascii="Times New Roman" w:hAnsi="Times New Roman" w:eastAsia="仿宋_GB2312"/>
          <w:sz w:val="32"/>
          <w:szCs w:val="32"/>
        </w:rPr>
        <w:t xml:space="preserve">在开展日常法治宣传教育的同时，根据自身职能，结合特殊时段和节点，及时开展社会关注、公众需求的主题法治宣传教育活动。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（三）坚持局所联动与属地管理相结合。</w:t>
      </w:r>
      <w:r>
        <w:rPr>
          <w:rFonts w:ascii="Times New Roman" w:hAnsi="Times New Roman" w:eastAsia="仿宋_GB2312"/>
          <w:sz w:val="32"/>
          <w:szCs w:val="32"/>
        </w:rPr>
        <w:t xml:space="preserve">进一步落实普法工作属地管理、分级负责原则，坚持局机关处室、基层单位上下联动普法。强化局机关对直属单位；处室对所属条线普法工作的指导，着力构建法治宣传教育协同作战新格局。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（四）坚持系统内普法与社会普法相结合。</w:t>
      </w:r>
      <w:r>
        <w:rPr>
          <w:rFonts w:ascii="Times New Roman" w:hAnsi="Times New Roman" w:eastAsia="仿宋_GB2312"/>
          <w:sz w:val="32"/>
          <w:szCs w:val="32"/>
        </w:rPr>
        <w:t xml:space="preserve">在履行好系统内普法责任的同时，积极承担面向社会的普法责任，努力提高住建干部职工法律素质，增强社会公众的法治意识。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（五）坚持创新发展与增强实效协同。</w:t>
      </w:r>
      <w:r>
        <w:rPr>
          <w:rFonts w:ascii="Times New Roman" w:hAnsi="Times New Roman" w:eastAsia="仿宋_GB2312"/>
          <w:sz w:val="32"/>
          <w:szCs w:val="32"/>
        </w:rPr>
        <w:t xml:space="preserve">适应时代发展的新要求和普法对象的接受能力，不断创新普法理念、工作机制和方式方法，积极推进各项普法责任的落实，切实增强普法的针对性和实效性。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三、工作内容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（一）建立普法责任清单。</w:t>
      </w:r>
      <w:r>
        <w:rPr>
          <w:rFonts w:ascii="Times New Roman" w:hAnsi="Times New Roman" w:eastAsia="仿宋_GB2312"/>
          <w:sz w:val="32"/>
          <w:szCs w:val="32"/>
        </w:rPr>
        <w:t>各相关处室、直属单位应根据已梳理的市住建局“谁执法谁普法”责任清单（详见附件）的内容，结合各自业务、职能，制定本处室、本单位年度普法实施方案、编印普法材料，明确本年度普法内容、普法责任人、普法对象、普法方式、普法时间等内容，确保各项普法任务有序推进。并于5月31日前将年度普法实施方案报局政策法规处。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（二）健全领导干部学法制度。</w:t>
      </w:r>
      <w:r>
        <w:rPr>
          <w:rFonts w:ascii="Times New Roman" w:hAnsi="Times New Roman" w:eastAsia="仿宋_GB2312"/>
          <w:sz w:val="32"/>
          <w:szCs w:val="32"/>
        </w:rPr>
        <w:t xml:space="preserve">健全全体干部职工学法制度，实现干部学法制度化、规范化；开展全局性法律法规知识培训学习，选取重要法律条文、典型案例、法律解读等作为普法内容予以分发，实现对全体干部职工法治教育培训常态化。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（三）坚持日常监管普法。</w:t>
      </w:r>
      <w:r>
        <w:rPr>
          <w:rFonts w:ascii="Times New Roman" w:hAnsi="Times New Roman" w:eastAsia="仿宋_GB2312"/>
          <w:sz w:val="32"/>
          <w:szCs w:val="32"/>
        </w:rPr>
        <w:t xml:space="preserve">各普法责任处室、单位在开展日常执法监管等工作的同时，要根据自身职能，通过各种有效形式，在执法监管过程中，向监管对象、服务对象、执法对象和社会公众宣讲有关法律规定，解答有关法律问题，将普法宣传教育渗透到执法监管全过程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（四）持续深化“法律六进”。</w:t>
      </w:r>
      <w:r>
        <w:rPr>
          <w:rFonts w:ascii="Times New Roman" w:hAnsi="Times New Roman" w:eastAsia="仿宋_GB2312"/>
          <w:sz w:val="32"/>
          <w:szCs w:val="32"/>
        </w:rPr>
        <w:t xml:space="preserve">各普法责任处室、单位要利用自身资源，组织开展送法进机关、进乡村、进社区、进学校、进企业、进单位活动。将法治宣传教育与群众文化生活相结合，开展丰富多样的法治文化活动，积极引导和帮助公民学法用法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（五）深入开展“以案释法”。</w:t>
      </w:r>
      <w:r>
        <w:rPr>
          <w:rFonts w:ascii="Times New Roman" w:hAnsi="Times New Roman" w:eastAsia="仿宋_GB2312"/>
          <w:sz w:val="32"/>
          <w:szCs w:val="32"/>
        </w:rPr>
        <w:t xml:space="preserve">行政执法人员以案件宣讲的形式，主动向社会宣传法律知识，解答公众法律疑问，推动形成以案释法工作长效机制。一是严格执行 “谁办案，谁录入”的原则公示行政处罚信息，通过行政处罚文书这个载体向社会公众进行普法。二是推行行政处罚说理性文书及行政处罚说理性告知文书。处罚前及处罚时与当事人充分沟通交流，讲清违法事实的事理，讲准适用法律的法理，讲明处罚裁量的情理，使每一份行政处罚告知书都同时成为一份普法宣传书，让当事人在接受处罚的同时也接受相应的普法教育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（六）加大媒介平台普法力度。</w:t>
      </w:r>
      <w:r>
        <w:rPr>
          <w:rFonts w:ascii="Times New Roman" w:hAnsi="Times New Roman" w:eastAsia="仿宋_GB2312"/>
          <w:sz w:val="32"/>
          <w:szCs w:val="32"/>
        </w:rPr>
        <w:t xml:space="preserve">充分运用网络、微信公众号、LED显示屏等媒体传播的优势，开展媒介普法宣传教育，适时播发本部门普法宣传动态、法治资讯，进一步扩大法治宣传的覆盖面，增强法治宣传的实效性、针对性和影响力。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（七）持续做好主题宣传。</w:t>
      </w:r>
      <w:r>
        <w:rPr>
          <w:rFonts w:ascii="Times New Roman" w:hAnsi="Times New Roman" w:eastAsia="仿宋_GB2312"/>
          <w:sz w:val="32"/>
          <w:szCs w:val="32"/>
        </w:rPr>
        <w:t xml:space="preserve">结合 “12.4”国家宪法日等活动，有计划地组织开展面向社会的法治宣传活动，制作推送普法宣传资料，广泛宣传本部门本单位执行的法律法规，引导和帮助公民学习相关的法律知识，利用新闻媒体等手段扩大法治宣传效果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四、工作要求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（一）加强领导，明确责任。</w:t>
      </w:r>
      <w:r>
        <w:rPr>
          <w:rFonts w:ascii="Times New Roman" w:hAnsi="Times New Roman" w:eastAsia="仿宋_GB2312"/>
          <w:sz w:val="32"/>
          <w:szCs w:val="32"/>
        </w:rPr>
        <w:t xml:space="preserve">各业务处室、单位负责人为本处室、单位普法责任人，各普法责任人要进一步明确工作目标、细化工作方案、创新工作举措、落实工作责任，确保“谁执法谁普法”见到实效。处室要加强对本业务条线普法宣传的指导力度，督促所属条线认真履行普法宣传工作职责，确保普法工作取得实效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（二）细化工作内容，加强工作衔接。</w:t>
      </w:r>
      <w:r>
        <w:rPr>
          <w:rFonts w:ascii="Times New Roman" w:hAnsi="Times New Roman" w:eastAsia="仿宋_GB2312"/>
          <w:sz w:val="32"/>
          <w:szCs w:val="32"/>
        </w:rPr>
        <w:t xml:space="preserve">各责任处室、单位根据市住建局“谁执法谁普法”责任清单及自身工作重点和执法任务，制定年度普法工作实施方案，认真完成年度普法工作。注重普法过程中各类文字、图片、影像等资料的收集、整理、归档，普法主题及日常工作进展情况应及时反馈，在普法事项结束后10个工作日内连同相关资料报送局政策法规处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（三）定期督查，严格考核。</w:t>
      </w:r>
      <w:r>
        <w:rPr>
          <w:rFonts w:ascii="Times New Roman" w:hAnsi="Times New Roman" w:eastAsia="仿宋_GB2312"/>
          <w:sz w:val="32"/>
          <w:szCs w:val="32"/>
        </w:rPr>
        <w:t xml:space="preserve">“谁执法谁普法”工作落实情况已经被纳入市级依法治市目标绩效考核范围。各责任处室、单位要按照“谁执法谁普法”责任分工确定的宣传内容与其他业务工作同部署、同检查、同考核，采取有效措施推动普法责任制的落实。 </w:t>
      </w:r>
    </w:p>
    <w:p>
      <w:pPr>
        <w:adjustRightInd w:val="0"/>
        <w:snapToGrid w:val="0"/>
        <w:spacing w:line="300" w:lineRule="auto"/>
        <w:ind w:firstLine="622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（四）强化宣传，扩大影响。</w:t>
      </w:r>
      <w:r>
        <w:rPr>
          <w:rFonts w:ascii="Times New Roman" w:hAnsi="Times New Roman" w:eastAsia="仿宋_GB2312"/>
          <w:sz w:val="32"/>
          <w:szCs w:val="32"/>
        </w:rPr>
        <w:t>各普法责任处室、单位要采取多种形式加强对“谁执法谁普法”工作的宣传报道，进一步扩大住建领域普法宣传的影响力，为住建领域执法监管营造浓厚法治氛围。加强普法宣传的调查研究和工作交流，及时总结推广普法宣传好的经验做法，不断提高普法宣传的工作水平。</w:t>
      </w:r>
    </w:p>
    <w:p>
      <w:pPr>
        <w:adjustRightInd w:val="0"/>
        <w:snapToGrid w:val="0"/>
        <w:spacing w:line="300" w:lineRule="auto"/>
        <w:ind w:firstLine="622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22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22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22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仿宋_GB2312"/>
          <w:bCs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481" w:charSpace="-1844"/>
        </w:sectPr>
      </w:pPr>
    </w:p>
    <w:p>
      <w:pPr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市住建局“谁执法谁普法”责任清单</w:t>
      </w:r>
    </w:p>
    <w:tbl>
      <w:tblPr>
        <w:tblStyle w:val="7"/>
        <w:tblW w:w="5303" w:type="pct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748"/>
        <w:gridCol w:w="2979"/>
        <w:gridCol w:w="2046"/>
        <w:gridCol w:w="2036"/>
        <w:gridCol w:w="2396"/>
        <w:gridCol w:w="1624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序号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宋体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普法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责任主体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普法内容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宋体"/>
                <w:b/>
                <w:sz w:val="24"/>
              </w:rPr>
              <w:t>普及的法律法规）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普法对象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载体阵地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普法方式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普法节点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局办公室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《中华人民共和国政府信息公开条例》等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全局干部职工、社会大众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局信访处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《中华人民共和国信访条例》等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全局干部职工、社会大众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局政策法规处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《中华人民共和国宪法》《中华人民共和国行政处罚法》等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全局干部职工、社会大众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1、全年；2、“12.4”国家宪法日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局审计处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《中华人民共和国审计法》等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全局干部职工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局住房保障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管理处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《经济适用住房管理办法》《公共租赁住房管理办法》《廉租住房保障办法》等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局房地产开发处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《城市房地产开发经营管理条例》《房地产开发企业资质管理规定》等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房地产开发企业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局房地产市场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《中华人民共和国城市房地产管理法》《城市房地产开发经营管理条例》《商品房销售管理办法》《城市商品房预售管理办法》《商品房租赁管理办法》《房地产经纪管理办法》《房地产估价机构管理办法》等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房地产开发企业、租赁企业、社会大众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宣传标语，发宣传单、培训教育、以案释法、法律咨询等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1、全年；2、贯穿于执法全过程，渗透于执法各环节。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局物业监管处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《物业管理条例》《江苏省物业管理条例》《住宅专项维修资金管理办法》等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物业企业、业主、业委会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宣传标语，发宣传单、培训教育、以案释法、法律咨询等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局房屋安全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管理处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《城市危险房屋管理规定》《城市房屋白蚁防治管理规定》《住宅室内装饰装修管理办法》等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相关企业、社会大众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宣传标语，发宣传单、培训教育、以案释法、法律咨询等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局征收监管处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《国有土地上房屋征收与补偿条例》等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宣传标语，发宣传单、以案释法、法律咨询等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局市政监管处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《城市道路管理条例》《城市桥梁检测和养护维修管理办法》《城市照明管理规定》等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市政单位、社会大众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局公用事业处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《城市供水条例》《城市供水水质管理规定》《城市排水许可管理办法》《城镇排水与污水处理条例》《城镇燃气管理条例》《江苏省燃气管理条例》《城市节约用水管理规定》等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公用事业单位、社会大众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局村镇建设处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《村庄和集镇规划建设管理条例》《江苏省村镇规划建设管理条例》《江苏省传统村落保护办法》等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局设计处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《建设工程勘察设计管理条例》《历史文化名城名镇名村保护条例》《江苏省建设工程勘察设计管理办法》《房屋建筑和市政基础设施工程施工图设计文件审查管理办法》《房屋建筑工程抗震设防管理规定》等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勘察设计单位、社会大众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局绿色建筑与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科技处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《中华人民共和国节约能源法》《民用建筑节能条例》《江苏省绿色建筑发展条例》《江苏省建筑节能管理办法》《江苏省发展新型墙体材料与推广节能建筑管理规定》等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工程建设各责任主体单位、社会大众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局园林处、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局绿化处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《城市绿化条例》《江苏省城市绿化管理条例》《城市绿线管理办法》等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园林单位、绿化单位、社会大众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局建筑业发展处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《中华人民共和国注册建筑师条例》《建筑业企业资质管理规定》《注册建造市管理规定》等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建筑业企业及从业人员、社会大众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局建筑市场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《中华人民共和国建筑法》《中华人民共和国招标投标法》《江苏省建筑市场管理条例》《江苏省招投标条例》《江苏省建设工程造价管理办法》《建筑工程施工发包与承包计价管理办法》等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建设单位、施工企业、招标代理机构、造价咨询机构、社会大众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宣传标语，发宣传单、培训教育、以案释法、法律咨询等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1、全年；2、贯穿于执法全过程，渗透于执法各环节。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局工程质量安全监管处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消防法》《建设工程质量管理条例》《建设工程安全生产管理条例》《建筑施工企业主要负责人、项目负责人和专职安全生产管理人员安全生产管理规定》《危险性较大的分部分项工程安全管理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建设单位、施工企业、社会大众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宣传标语，发宣传单、培训教育、以案释法、法律咨询等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1、全年；2、贯穿于执法全过程，渗透于执法各环节。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局人防指挥和通信处、局人防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平战结合处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《中华人民共和国人民防空法》《江苏省实施&lt;中华人民共和国人民防空法&gt;办法》《江苏省人民防空工程建设使用规定》等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人防工程建设单位、使用单位、社会大众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宣传标语，发宣传单、培训教育、以案释法、法律咨询等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1、全年；2、贯穿于执法全过程，渗透于执法各环节。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局震害防御处、局地震监测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预报处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《中华人民共和国防震减灾法》《地震安全性评价管理条例》《地震监测管理条例》、《江苏省防震减灾条例》等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建设单位、地震监测管理机构、社会大众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22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局安全生产监督管理处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《中华人民共和国安全生产法》《建设工程安全生产管理条例》《建筑施工企业主要负责人、项目负责人和专职安全生产管理人员安全生产管理规定》《建筑起重机械安全监督管理规定》等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工程建设各责任主体单位、社会大众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微信、短信、宣传单、宣传栏、LED屏、小区等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宣传标语，发宣传单、培训教育、以案释法、法律咨询等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23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局行政服务处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《中华人民共和国行政许可法》等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全局干部职工、社会大众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宣传标语，发宣传单、法律咨询等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全年 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  <w:jc w:val="center"/>
        </w:trPr>
        <w:tc>
          <w:tcPr>
            <w:tcW w:w="2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24</w:t>
            </w:r>
          </w:p>
        </w:tc>
        <w:tc>
          <w:tcPr>
            <w:tcW w:w="6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局机关党委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《中国共产党章程》《中国共产党纪律处分条例》《中国共产党党内监督条例》《中国共产党廉洁自律准则》等</w:t>
            </w:r>
          </w:p>
        </w:tc>
        <w:tc>
          <w:tcPr>
            <w:tcW w:w="7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全局党员干部职工</w:t>
            </w:r>
          </w:p>
        </w:tc>
        <w:tc>
          <w:tcPr>
            <w:tcW w:w="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微信、短信、宣传单、宣传栏、LED屏等</w:t>
            </w:r>
          </w:p>
        </w:tc>
        <w:tc>
          <w:tcPr>
            <w:tcW w:w="8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宣传标语，发宣传单、培训教育等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全年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460" w:lineRule="exact"/>
        <w:rPr>
          <w:rFonts w:ascii="Times New Roman" w:hAnsi="Times New Roman" w:eastAsia="仿宋_GB2312"/>
          <w:sz w:val="44"/>
        </w:rPr>
      </w:pP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8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SJnjx9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Y9d8R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evenAndOddHeaders w:val="1"/>
  <w:drawingGridHorizontalSpacing w:val="201"/>
  <w:drawingGridVerticalSpacing w:val="4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95"/>
    <w:rsid w:val="0000605A"/>
    <w:rsid w:val="00011173"/>
    <w:rsid w:val="00013CA3"/>
    <w:rsid w:val="00016461"/>
    <w:rsid w:val="000312D8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6ED8"/>
    <w:rsid w:val="0025441D"/>
    <w:rsid w:val="00257D0A"/>
    <w:rsid w:val="00263C85"/>
    <w:rsid w:val="002641F8"/>
    <w:rsid w:val="002875FA"/>
    <w:rsid w:val="00291195"/>
    <w:rsid w:val="002A6DDE"/>
    <w:rsid w:val="002B0217"/>
    <w:rsid w:val="002B3237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F7E37"/>
    <w:rsid w:val="0061567B"/>
    <w:rsid w:val="00631274"/>
    <w:rsid w:val="00641602"/>
    <w:rsid w:val="00642810"/>
    <w:rsid w:val="006654FE"/>
    <w:rsid w:val="006711A0"/>
    <w:rsid w:val="00677DC0"/>
    <w:rsid w:val="0068621D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2313F"/>
    <w:rsid w:val="00743E62"/>
    <w:rsid w:val="00744C4A"/>
    <w:rsid w:val="0074729F"/>
    <w:rsid w:val="00754BBD"/>
    <w:rsid w:val="00767FA1"/>
    <w:rsid w:val="00782F05"/>
    <w:rsid w:val="00791F54"/>
    <w:rsid w:val="00797C21"/>
    <w:rsid w:val="007B4F5A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71186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B3C"/>
    <w:rsid w:val="00A21CB5"/>
    <w:rsid w:val="00A24EB4"/>
    <w:rsid w:val="00A333D0"/>
    <w:rsid w:val="00A4533F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21F6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A7F51"/>
    <w:rsid w:val="00CB0E81"/>
    <w:rsid w:val="00CB5A9E"/>
    <w:rsid w:val="00CC0C12"/>
    <w:rsid w:val="00CF346B"/>
    <w:rsid w:val="00D21294"/>
    <w:rsid w:val="00D21B76"/>
    <w:rsid w:val="00D3276F"/>
    <w:rsid w:val="00D417CF"/>
    <w:rsid w:val="00D6078C"/>
    <w:rsid w:val="00D612D0"/>
    <w:rsid w:val="00D72911"/>
    <w:rsid w:val="00D951AB"/>
    <w:rsid w:val="00DB7FCC"/>
    <w:rsid w:val="00DC156C"/>
    <w:rsid w:val="00DD5015"/>
    <w:rsid w:val="00E0333A"/>
    <w:rsid w:val="00E16507"/>
    <w:rsid w:val="00E333B2"/>
    <w:rsid w:val="00E47AF2"/>
    <w:rsid w:val="00E51949"/>
    <w:rsid w:val="00E5619F"/>
    <w:rsid w:val="00E5791C"/>
    <w:rsid w:val="00E61E03"/>
    <w:rsid w:val="00E642B4"/>
    <w:rsid w:val="00EA5205"/>
    <w:rsid w:val="00EC3FD3"/>
    <w:rsid w:val="00ED622C"/>
    <w:rsid w:val="00EE0E2C"/>
    <w:rsid w:val="00EE1969"/>
    <w:rsid w:val="00EF6CDF"/>
    <w:rsid w:val="00F10243"/>
    <w:rsid w:val="00F111FA"/>
    <w:rsid w:val="00F25331"/>
    <w:rsid w:val="00F32489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F5FC9"/>
    <w:rsid w:val="1C8D4426"/>
    <w:rsid w:val="1F3A7B4B"/>
    <w:rsid w:val="23F30A91"/>
    <w:rsid w:val="25102021"/>
    <w:rsid w:val="2AEE3492"/>
    <w:rsid w:val="2DA02EE8"/>
    <w:rsid w:val="37DD6C7B"/>
    <w:rsid w:val="45D25817"/>
    <w:rsid w:val="4BB73C10"/>
    <w:rsid w:val="544B6F9E"/>
    <w:rsid w:val="5D964B36"/>
    <w:rsid w:val="5E4B16D0"/>
    <w:rsid w:val="5EC24654"/>
    <w:rsid w:val="64B940F2"/>
    <w:rsid w:val="70CD5179"/>
    <w:rsid w:val="7285772D"/>
    <w:rsid w:val="765765CB"/>
    <w:rsid w:val="775E5B74"/>
    <w:rsid w:val="77C02A00"/>
    <w:rsid w:val="7B1B39CF"/>
    <w:rsid w:val="7E393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微软雅黑" w:cs="方正小标宋_GBK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5396</Words>
  <Characters>445</Characters>
  <Lines>3</Lines>
  <Paragraphs>11</Paragraphs>
  <TotalTime>20</TotalTime>
  <ScaleCrop>false</ScaleCrop>
  <LinksUpToDate>false</LinksUpToDate>
  <CharactersWithSpaces>5830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2019-09-16T03:32:00Z</dcterms:created>
  <dc:creator>Billgates</dc:creator>
  <cp:lastModifiedBy>Administrator</cp:lastModifiedBy>
  <cp:lastPrinted>2016-05-26T02:05:00Z</cp:lastPrinted>
  <dcterms:modified xsi:type="dcterms:W3CDTF">2021-05-21T10:08:52Z</dcterms:modified>
  <dc:title>徐州市财政局文件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94AD4778649E4B1FA53342CBA381CB1A</vt:lpwstr>
  </property>
</Properties>
</file>