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hint="eastAsia" w:ascii="方正小标宋简体" w:eastAsia="方正小标宋简体"/>
          <w:color w:val="FF0000"/>
          <w:spacing w:val="40"/>
          <w:w w:val="60"/>
          <w:sz w:val="96"/>
          <w:szCs w:val="96"/>
        </w:rPr>
      </w:pPr>
    </w:p>
    <w:p>
      <w:pPr>
        <w:snapToGrid w:val="0"/>
        <w:jc w:val="center"/>
        <w:rPr>
          <w:rFonts w:hint="eastAsia" w:ascii="方正小标宋简体" w:eastAsia="方正小标宋简体"/>
          <w:color w:val="FFFFFF" w:themeColor="background1"/>
          <w:spacing w:val="30"/>
          <w:w w:val="60"/>
          <w:sz w:val="96"/>
          <w:szCs w:val="96"/>
          <w14:textFill>
            <w14:solidFill>
              <w14:schemeClr w14:val="bg1"/>
            </w14:solidFill>
          </w14:textFill>
        </w:rPr>
      </w:pPr>
      <w:r>
        <w:rPr>
          <w:rFonts w:hint="eastAsia" w:ascii="方正小标宋简体" w:eastAsia="方正小标宋简体"/>
          <w:color w:val="FFFFFF" w:themeColor="background1"/>
          <w:spacing w:val="30"/>
          <w:w w:val="60"/>
          <w:sz w:val="96"/>
          <w:szCs w:val="96"/>
          <w14:textFill>
            <w14:solidFill>
              <w14:schemeClr w14:val="bg1"/>
            </w14:solidFill>
          </w14:textFill>
        </w:rPr>
        <w:t>连云港市住房和城乡</w:t>
      </w:r>
      <w:r>
        <w:rPr>
          <w:rFonts w:ascii="方正小标宋简体" w:eastAsia="方正小标宋简体"/>
          <w:color w:val="FFFFFF" w:themeColor="background1"/>
          <w:spacing w:val="30"/>
          <w:w w:val="60"/>
          <w:sz w:val="96"/>
          <w:szCs w:val="96"/>
          <w14:textFill>
            <w14:solidFill>
              <w14:schemeClr w14:val="bg1"/>
            </w14:solidFill>
          </w14:textFill>
        </w:rPr>
        <w:t>建设局</w:t>
      </w:r>
      <w:r>
        <w:rPr>
          <w:rFonts w:hint="eastAsia" w:ascii="方正小标宋简体" w:eastAsia="方正小标宋简体"/>
          <w:color w:val="FFFFFF" w:themeColor="background1"/>
          <w:spacing w:val="30"/>
          <w:w w:val="60"/>
          <w:sz w:val="96"/>
          <w:szCs w:val="96"/>
          <w14:textFill>
            <w14:solidFill>
              <w14:schemeClr w14:val="bg1"/>
            </w14:solidFill>
          </w14:textFill>
        </w:rPr>
        <w:t>文件</w:t>
      </w:r>
    </w:p>
    <w:p>
      <w:pPr>
        <w:snapToGrid w:val="0"/>
        <w:spacing w:line="480" w:lineRule="exact"/>
        <w:jc w:val="center"/>
        <w:rPr>
          <w:rFonts w:ascii="仿宋_GB2312" w:hAnsi="Batang" w:eastAsia="仿宋_GB2312"/>
          <w:sz w:val="40"/>
          <w:szCs w:val="40"/>
        </w:rPr>
      </w:pPr>
    </w:p>
    <w:p>
      <w:pPr>
        <w:snapToGrid w:val="0"/>
        <w:spacing w:line="480" w:lineRule="exact"/>
        <w:jc w:val="center"/>
        <w:rPr>
          <w:rFonts w:hint="eastAsia" w:ascii="仿宋_GB2312" w:hAnsi="Batang" w:eastAsia="仿宋_GB2312"/>
          <w:sz w:val="40"/>
          <w:szCs w:val="40"/>
        </w:rPr>
      </w:pPr>
    </w:p>
    <w:p>
      <w:pPr>
        <w:snapToGrid w:val="0"/>
        <w:spacing w:line="380" w:lineRule="exact"/>
        <w:jc w:val="center"/>
        <w:rPr>
          <w:rFonts w:hint="eastAsia" w:ascii="仿宋_GB2312" w:hAnsi="Batang" w:eastAsia="仿宋_GB2312"/>
          <w:sz w:val="40"/>
          <w:szCs w:val="40"/>
        </w:rPr>
      </w:pPr>
    </w:p>
    <w:p>
      <w:pPr>
        <w:snapToGrid w:val="0"/>
        <w:spacing w:line="380" w:lineRule="exact"/>
        <w:jc w:val="center"/>
        <w:rPr>
          <w:rFonts w:hint="eastAsia" w:ascii="仿宋_GB2312" w:hAnsi="Batang" w:eastAsia="仿宋_GB2312"/>
          <w:sz w:val="40"/>
          <w:szCs w:val="40"/>
        </w:rPr>
      </w:pPr>
    </w:p>
    <w:p>
      <w:pPr>
        <w:tabs>
          <w:tab w:val="left" w:pos="10190"/>
        </w:tabs>
        <w:snapToGrid w:val="0"/>
        <w:spacing w:before="48" w:beforeLines="10" w:line="460" w:lineRule="exact"/>
        <w:ind w:firstLine="305" w:firstLineChars="98"/>
        <w:jc w:val="center"/>
        <w:rPr>
          <w:rFonts w:hint="eastAsia" w:ascii="Times New Roman" w:hAnsi="Times New Roman" w:eastAsia="仿宋_GB2312" w:cs="Times New Roman"/>
          <w:sz w:val="32"/>
          <w:szCs w:val="32"/>
          <w:lang w:eastAsia="zh-CN"/>
        </w:rPr>
      </w:pPr>
      <w:bookmarkStart w:id="0" w:name="文号"/>
      <w:r>
        <w:rPr>
          <w:rFonts w:hint="eastAsia" w:ascii="Times New Roman" w:hAnsi="Times New Roman" w:eastAsia="仿宋_GB2312" w:cs="Times New Roman"/>
          <w:sz w:val="32"/>
          <w:szCs w:val="32"/>
          <w:lang w:eastAsia="zh-CN"/>
        </w:rPr>
        <w:t>连建法〔2020〕163号</w:t>
      </w:r>
      <w:bookmarkEnd w:id="0"/>
    </w:p>
    <w:p>
      <w:pPr>
        <w:snapToGrid w:val="0"/>
        <w:spacing w:before="48" w:beforeLines="10" w:line="460" w:lineRule="exact"/>
        <w:jc w:val="both"/>
        <w:rPr>
          <w:rFonts w:hint="eastAsia" w:ascii="仿宋_GB2312" w:hAnsi="Batang" w:eastAsia="仿宋_GB2312"/>
          <w:sz w:val="44"/>
        </w:rPr>
      </w:pPr>
    </w:p>
    <w:p>
      <w:pPr>
        <w:spacing w:line="560" w:lineRule="exact"/>
        <w:jc w:val="center"/>
        <w:rPr>
          <w:rFonts w:hint="eastAsia" w:ascii="方正小标宋简体" w:eastAsia="方正小标宋简体"/>
          <w:sz w:val="44"/>
          <w:szCs w:val="44"/>
          <w:lang w:val="en-US" w:eastAsia="zh-CN"/>
        </w:rPr>
      </w:pPr>
      <w:bookmarkStart w:id="1" w:name="附件"/>
      <w:bookmarkEnd w:id="1"/>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连云港</w:t>
      </w:r>
      <w:r>
        <w:rPr>
          <w:rFonts w:hint="eastAsia" w:ascii="方正小标宋简体" w:eastAsia="方正小标宋简体"/>
          <w:sz w:val="44"/>
          <w:szCs w:val="44"/>
        </w:rPr>
        <w:t>市住</w:t>
      </w:r>
      <w:r>
        <w:rPr>
          <w:rFonts w:hint="eastAsia" w:ascii="方正小标宋简体" w:eastAsia="方正小标宋简体"/>
          <w:sz w:val="44"/>
          <w:szCs w:val="44"/>
          <w:lang w:eastAsia="zh-CN"/>
        </w:rPr>
        <w:t>房和城乡</w:t>
      </w:r>
      <w:r>
        <w:rPr>
          <w:rFonts w:hint="eastAsia" w:ascii="方正小标宋简体" w:eastAsia="方正小标宋简体"/>
          <w:sz w:val="44"/>
          <w:szCs w:val="44"/>
        </w:rPr>
        <w:t>建</w:t>
      </w:r>
      <w:r>
        <w:rPr>
          <w:rFonts w:hint="eastAsia" w:ascii="方正小标宋简体" w:eastAsia="方正小标宋简体"/>
          <w:sz w:val="44"/>
          <w:szCs w:val="44"/>
          <w:lang w:eastAsia="zh-CN"/>
        </w:rPr>
        <w:t>设</w:t>
      </w:r>
      <w:r>
        <w:rPr>
          <w:rFonts w:hint="eastAsia" w:ascii="方正小标宋简体" w:eastAsia="方正小标宋简体"/>
          <w:sz w:val="44"/>
          <w:szCs w:val="44"/>
        </w:rPr>
        <w:t>局</w:t>
      </w:r>
    </w:p>
    <w:p>
      <w:pPr>
        <w:spacing w:line="560" w:lineRule="exact"/>
        <w:jc w:val="center"/>
        <w:rPr>
          <w:rFonts w:hint="eastAsia" w:ascii="方正小标宋简体" w:hAnsi="仿宋" w:eastAsia="方正小标宋简体"/>
          <w:sz w:val="28"/>
          <w:szCs w:val="28"/>
        </w:rPr>
      </w:pPr>
      <w:r>
        <w:rPr>
          <w:rFonts w:hint="eastAsia" w:ascii="方正小标宋简体" w:eastAsia="方正小标宋简体"/>
          <w:sz w:val="44"/>
          <w:szCs w:val="44"/>
        </w:rPr>
        <w:t>2020年度行政执法检查计划</w:t>
      </w:r>
    </w:p>
    <w:p>
      <w:pPr>
        <w:spacing w:line="560" w:lineRule="exact"/>
        <w:ind w:firstLine="622" w:firstLineChars="200"/>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了进一步加强行政执法监督,规范行政执法行为,提高住建执法事中和事后监管的效率和执行力，根据《江苏省行政执法监督办法》和《连云港市2020年行政执法监督检查计划》要求，结合我局工作实际，现制定我局2020年度行政执法检查计划。</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黑体" w:hAnsi="黑体" w:eastAsia="黑体" w:cs="黑体"/>
          <w:sz w:val="32"/>
          <w:szCs w:val="32"/>
        </w:rPr>
      </w:pPr>
      <w:r>
        <w:rPr>
          <w:rFonts w:hint="eastAsia" w:ascii="黑体" w:hAnsi="黑体" w:eastAsia="黑体" w:cs="黑体"/>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规范住建行政执法检查活动，推进住建部门职责范围内的监管检查全覆盖，避免多级、交叉、重复检查，建立“有计划、全覆盖、规范化”住建行政监督执法检查工作机制。</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黑体" w:hAnsi="黑体" w:eastAsia="黑体" w:cs="黑体"/>
          <w:sz w:val="32"/>
          <w:szCs w:val="32"/>
        </w:rPr>
      </w:pPr>
      <w:r>
        <w:rPr>
          <w:rFonts w:hint="default" w:ascii="黑体" w:hAnsi="黑体" w:eastAsia="黑体" w:cs="黑体"/>
          <w:sz w:val="32"/>
          <w:szCs w:val="32"/>
        </w:rPr>
        <w:t>二、工作安排</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（一）执法检查工作计划</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江苏省行政执法监督办法》和《连云港市2020年行政执法监督检查计划》要求，落实好我局行政执法检查计划管理工作，编制2020年行政执法检查计划（具体见附件）。除法律、法规、规章规定临时检查和国家、省、市政府临时部署的专项执法检查安排外，所有行政执法的检查行为均按照编制的年度检查计划开展工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（二）严格规范执法行为</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执法检查严格执行国家和省市县有关规定，行政执法人员进行行政执法检查时应规范用语，文明执法，依法行政。每次执法检查人员不少于2人，主动出示检查工作计划文件和执法证件，现场检查时不得收取任何费用，不得当场收缴罚款。</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（三）规范检查信息公告、公示和公开</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市政府办公室关于印发连云港市“双随机、一公开”工作实施意见的通知》和《连云港市住房和城乡建设局关于印发行政执法公开制度执法全过程记录制度制度重大执法决定法制审批制度的通知》等制度，公示年度检查工作计划、检查结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（四）规范行政执法文书和档案管理</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对执法监督检查记录、证据材料及其它执法文书建档立卷（包括书面记录、照片、视频等），专门保管。适时组织执法案卷评查，积极参加部门和地方案卷评查工作。</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黑体" w:hAnsi="黑体" w:eastAsia="黑体" w:cs="黑体"/>
          <w:sz w:val="32"/>
          <w:szCs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1.加强组织领导，明确责任分工。</w:t>
      </w:r>
      <w:r>
        <w:rPr>
          <w:rFonts w:hint="default" w:ascii="Times New Roman" w:hAnsi="Times New Roman" w:eastAsia="仿宋_GB2312" w:cs="Times New Roman"/>
          <w:sz w:val="32"/>
          <w:szCs w:val="32"/>
        </w:rPr>
        <w:t>将行政执法检查列入处室、单位议事日程，主要负责人负总责，分管负责人对分管领域执法检查负责，并适时参加执法检查。根据职责分工和工作实际，确定不同阶段的工作重点，将执法工作任务明确到人。</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2.定期分析通报，严格考核。</w:t>
      </w:r>
      <w:r>
        <w:rPr>
          <w:rFonts w:hint="default" w:ascii="Times New Roman" w:hAnsi="Times New Roman" w:eastAsia="仿宋_GB2312" w:cs="Times New Roman"/>
          <w:sz w:val="32"/>
          <w:szCs w:val="32"/>
        </w:rPr>
        <w:t>及时汇总行政执法检查计划实施情况，各执法处室、单位于每个月5日前报送上个月的行政检查实施情况。每半年对执法检查工作计划完成情况进行总结分析，并及时通报。及时总结和宣传执法监督检查中的好经验、好做法。</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附件：2020年度市住建局行政执法检查计划表</w:t>
      </w:r>
      <w:bookmarkStart w:id="2" w:name="_GoBack"/>
      <w:bookmarkEnd w:id="2"/>
    </w:p>
    <w:p>
      <w:pPr>
        <w:spacing w:line="300" w:lineRule="auto"/>
        <w:ind w:firstLine="622" w:firstLineChars="200"/>
        <w:rPr>
          <w:rFonts w:hint="eastAsia" w:ascii="仿宋_GB2312" w:hAnsi="仿宋" w:eastAsia="仿宋_GB2312"/>
          <w:sz w:val="32"/>
          <w:szCs w:val="32"/>
        </w:rPr>
      </w:pPr>
    </w:p>
    <w:p>
      <w:pPr>
        <w:spacing w:line="300" w:lineRule="auto"/>
        <w:ind w:firstLine="622" w:firstLineChars="200"/>
        <w:rPr>
          <w:rFonts w:hint="eastAsia" w:ascii="仿宋_GB2312" w:hAnsi="仿宋" w:eastAsia="仿宋_GB2312"/>
          <w:sz w:val="32"/>
          <w:szCs w:val="32"/>
        </w:rPr>
      </w:pPr>
    </w:p>
    <w:p>
      <w:pPr>
        <w:spacing w:line="300" w:lineRule="auto"/>
        <w:ind w:firstLine="622" w:firstLineChars="200"/>
        <w:rPr>
          <w:rFonts w:hint="eastAsia" w:ascii="仿宋_GB2312" w:hAnsi="仿宋" w:eastAsia="仿宋_GB2312"/>
          <w:sz w:val="32"/>
          <w:szCs w:val="32"/>
        </w:rPr>
      </w:pPr>
    </w:p>
    <w:p>
      <w:pPr>
        <w:spacing w:line="300" w:lineRule="auto"/>
        <w:ind w:firstLine="622" w:firstLineChars="200"/>
        <w:rPr>
          <w:rFonts w:hint="eastAsia" w:ascii="仿宋_GB2312" w:hAnsi="仿宋" w:eastAsia="仿宋_GB2312"/>
          <w:sz w:val="32"/>
          <w:szCs w:val="32"/>
        </w:rPr>
      </w:pPr>
    </w:p>
    <w:p>
      <w:pPr>
        <w:spacing w:line="560" w:lineRule="exact"/>
        <w:ind w:firstLine="4354" w:firstLineChars="14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连云港市住房和城乡建设局</w:t>
      </w:r>
    </w:p>
    <w:p>
      <w:pPr>
        <w:spacing w:line="560" w:lineRule="exact"/>
        <w:ind w:firstLine="4976" w:firstLineChars="1600"/>
        <w:rPr>
          <w:rFonts w:hint="default" w:ascii="Times New Roman" w:hAnsi="Times New Roman" w:cs="Times New Roman"/>
          <w:sz w:val="44"/>
          <w:szCs w:val="44"/>
        </w:rPr>
      </w:pPr>
      <w:r>
        <w:rPr>
          <w:rFonts w:hint="default"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24</w:t>
      </w:r>
      <w:r>
        <w:rPr>
          <w:rFonts w:hint="default" w:ascii="Times New Roman" w:hAnsi="Times New Roman" w:eastAsia="仿宋_GB2312" w:cs="Times New Roman"/>
          <w:color w:val="000000"/>
          <w:sz w:val="32"/>
          <w:szCs w:val="32"/>
        </w:rPr>
        <w:t>日</w:t>
      </w:r>
    </w:p>
    <w:p>
      <w:pPr>
        <w:spacing w:line="480" w:lineRule="exact"/>
        <w:rPr>
          <w:rFonts w:hint="default" w:ascii="Times New Roman" w:hAnsi="Times New Roman" w:cs="Times New Roman"/>
          <w:sz w:val="44"/>
          <w:szCs w:val="44"/>
        </w:rPr>
      </w:pPr>
    </w:p>
    <w:p>
      <w:pPr>
        <w:spacing w:line="300" w:lineRule="auto"/>
        <w:jc w:val="right"/>
        <w:rPr>
          <w:rFonts w:hint="eastAsia" w:ascii="仿宋_GB2312" w:hAnsi="仿宋" w:eastAsia="仿宋_GB2312"/>
          <w:sz w:val="32"/>
          <w:szCs w:val="32"/>
        </w:rPr>
      </w:pPr>
      <w:r>
        <w:rPr>
          <w:rFonts w:hint="eastAsia" w:ascii="仿宋_GB2312" w:hAnsi="仿宋" w:eastAsia="仿宋_GB2312"/>
          <w:sz w:val="32"/>
          <w:szCs w:val="32"/>
        </w:rPr>
        <w:t xml:space="preserve"> </w:t>
      </w:r>
    </w:p>
    <w:p>
      <w:pPr>
        <w:spacing w:line="300" w:lineRule="auto"/>
        <w:ind w:right="160"/>
        <w:rPr>
          <w:rFonts w:hint="eastAsia" w:ascii="仿宋_GB2312" w:hAnsi="仿宋" w:eastAsia="仿宋_GB2312"/>
          <w:sz w:val="44"/>
          <w:szCs w:val="44"/>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fmt="numberInDash"/>
          <w:cols w:space="720" w:num="1"/>
          <w:docGrid w:type="linesAndChars" w:linePitch="481" w:charSpace="-1844"/>
        </w:sectPr>
      </w:pPr>
    </w:p>
    <w:p>
      <w:pPr>
        <w:spacing w:line="579" w:lineRule="exact"/>
        <w:ind w:right="160"/>
        <w:rPr>
          <w:rFonts w:hint="eastAsia" w:ascii="黑体" w:hAnsi="黑体" w:eastAsia="黑体" w:cs="黑体"/>
          <w:sz w:val="32"/>
          <w:szCs w:val="32"/>
        </w:rPr>
      </w:pPr>
      <w:r>
        <w:rPr>
          <w:rFonts w:hint="eastAsia" w:ascii="黑体" w:hAnsi="黑体" w:eastAsia="黑体" w:cs="黑体"/>
          <w:sz w:val="32"/>
          <w:szCs w:val="32"/>
        </w:rPr>
        <w:t>附件</w:t>
      </w:r>
    </w:p>
    <w:p>
      <w:pPr>
        <w:spacing w:line="579" w:lineRule="exact"/>
        <w:ind w:right="160"/>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2020年度市住建局行政执法检查计划表</w:t>
      </w:r>
    </w:p>
    <w:p>
      <w:pPr>
        <w:spacing w:line="240" w:lineRule="exact"/>
        <w:ind w:right="159"/>
        <w:jc w:val="center"/>
        <w:rPr>
          <w:rFonts w:hint="eastAsia" w:ascii="方正小标宋简体" w:hAnsi="仿宋" w:eastAsia="方正小标宋简体"/>
          <w:sz w:val="44"/>
          <w:szCs w:val="44"/>
        </w:rPr>
      </w:pPr>
    </w:p>
    <w:tbl>
      <w:tblPr>
        <w:tblStyle w:val="6"/>
        <w:tblW w:w="14702" w:type="dxa"/>
        <w:tblInd w:w="-10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6"/>
        <w:gridCol w:w="1699"/>
        <w:gridCol w:w="2776"/>
        <w:gridCol w:w="1844"/>
        <w:gridCol w:w="3795"/>
        <w:gridCol w:w="2664"/>
        <w:gridCol w:w="1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4" w:hRule="atLeast"/>
        </w:trPr>
        <w:tc>
          <w:tcPr>
            <w:tcW w:w="656" w:type="dxa"/>
            <w:noWrap w:val="0"/>
            <w:vAlign w:val="center"/>
          </w:tcPr>
          <w:p>
            <w:pPr>
              <w:spacing w:line="320" w:lineRule="exact"/>
              <w:ind w:right="15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序号</w:t>
            </w:r>
          </w:p>
        </w:tc>
        <w:tc>
          <w:tcPr>
            <w:tcW w:w="1699" w:type="dxa"/>
            <w:noWrap w:val="0"/>
            <w:vAlign w:val="center"/>
          </w:tcPr>
          <w:p>
            <w:pPr>
              <w:spacing w:line="320" w:lineRule="exact"/>
              <w:ind w:right="15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检查单位</w:t>
            </w:r>
          </w:p>
        </w:tc>
        <w:tc>
          <w:tcPr>
            <w:tcW w:w="2776" w:type="dxa"/>
            <w:noWrap w:val="0"/>
            <w:vAlign w:val="center"/>
          </w:tcPr>
          <w:p>
            <w:pPr>
              <w:spacing w:line="320" w:lineRule="exact"/>
              <w:ind w:right="15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检查</w:t>
            </w:r>
          </w:p>
          <w:p>
            <w:pPr>
              <w:spacing w:line="320" w:lineRule="exact"/>
              <w:ind w:right="15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对象</w:t>
            </w:r>
          </w:p>
        </w:tc>
        <w:tc>
          <w:tcPr>
            <w:tcW w:w="1844" w:type="dxa"/>
            <w:noWrap w:val="0"/>
            <w:vAlign w:val="center"/>
          </w:tcPr>
          <w:p>
            <w:pPr>
              <w:spacing w:line="320" w:lineRule="exact"/>
              <w:ind w:right="15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检查时间</w:t>
            </w:r>
          </w:p>
        </w:tc>
        <w:tc>
          <w:tcPr>
            <w:tcW w:w="3795" w:type="dxa"/>
            <w:noWrap w:val="0"/>
            <w:vAlign w:val="center"/>
          </w:tcPr>
          <w:p>
            <w:pPr>
              <w:spacing w:line="320" w:lineRule="exact"/>
              <w:ind w:right="15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检查内容</w:t>
            </w:r>
          </w:p>
        </w:tc>
        <w:tc>
          <w:tcPr>
            <w:tcW w:w="2664" w:type="dxa"/>
            <w:noWrap w:val="0"/>
            <w:vAlign w:val="center"/>
          </w:tcPr>
          <w:p>
            <w:pPr>
              <w:spacing w:line="320" w:lineRule="exact"/>
              <w:ind w:right="15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检查依据</w:t>
            </w:r>
          </w:p>
        </w:tc>
        <w:tc>
          <w:tcPr>
            <w:tcW w:w="1268" w:type="dxa"/>
            <w:noWrap w:val="0"/>
            <w:vAlign w:val="center"/>
          </w:tcPr>
          <w:p>
            <w:pPr>
              <w:spacing w:line="320" w:lineRule="exact"/>
              <w:ind w:right="15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检查</w:t>
            </w:r>
          </w:p>
          <w:p>
            <w:pPr>
              <w:spacing w:line="320" w:lineRule="exact"/>
              <w:ind w:right="159"/>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0" w:hRule="atLeast"/>
        </w:trPr>
        <w:tc>
          <w:tcPr>
            <w:tcW w:w="656" w:type="dxa"/>
            <w:vMerge w:val="restart"/>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1699" w:type="dxa"/>
            <w:vMerge w:val="restart"/>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局地震监测</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预报处</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市地震数据</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处理中心</w:t>
            </w:r>
          </w:p>
        </w:tc>
        <w:tc>
          <w:tcPr>
            <w:tcW w:w="2776" w:type="dxa"/>
            <w:vMerge w:val="restart"/>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各县(区)地震台</w:t>
            </w: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第一季度末</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（3月下旬）</w:t>
            </w:r>
          </w:p>
        </w:tc>
        <w:tc>
          <w:tcPr>
            <w:tcW w:w="379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 对专用地震监测台网建设的监管</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 对未按照要求增建抗干扰设施或者新建地震监测设施行为的监管</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3.对侵占、毁损、拆除或者擅自移动地震监测设施，危害地震观测环境，破坏典型地震遗址、遗迹行为的监管</w:t>
            </w:r>
          </w:p>
        </w:tc>
        <w:tc>
          <w:tcPr>
            <w:tcW w:w="2664" w:type="dxa"/>
            <w:vMerge w:val="restart"/>
            <w:noWrap w:val="0"/>
            <w:vAlign w:val="center"/>
          </w:tcPr>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1.《中华人民共和国防震减灾法》</w:t>
            </w:r>
          </w:p>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2.《地震监测管理条例》(国务院令第409号)</w:t>
            </w:r>
          </w:p>
          <w:p>
            <w:pPr>
              <w:spacing w:line="48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3.《江苏省防震减灾条例》</w:t>
            </w:r>
          </w:p>
        </w:tc>
        <w:tc>
          <w:tcPr>
            <w:tcW w:w="1268" w:type="dxa"/>
            <w:vMerge w:val="restart"/>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26" w:hRule="atLeast"/>
        </w:trPr>
        <w:tc>
          <w:tcPr>
            <w:tcW w:w="656"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1699"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2776"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第二季度末</w:t>
            </w:r>
          </w:p>
          <w:p>
            <w:pPr>
              <w:spacing w:line="480" w:lineRule="exact"/>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（6月下旬）</w:t>
            </w:r>
          </w:p>
        </w:tc>
        <w:tc>
          <w:tcPr>
            <w:tcW w:w="3795"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2664"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1268" w:type="dxa"/>
            <w:vMerge w:val="continue"/>
            <w:noWrap w:val="0"/>
            <w:vAlign w:val="center"/>
          </w:tcPr>
          <w:p>
            <w:pPr>
              <w:spacing w:line="480" w:lineRule="exact"/>
              <w:jc w:val="left"/>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66" w:hRule="atLeast"/>
        </w:trPr>
        <w:tc>
          <w:tcPr>
            <w:tcW w:w="656"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1699"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2776"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第三季度末</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（9月下旬）</w:t>
            </w:r>
          </w:p>
        </w:tc>
        <w:tc>
          <w:tcPr>
            <w:tcW w:w="3795"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2664"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1268" w:type="dxa"/>
            <w:vMerge w:val="continue"/>
            <w:noWrap w:val="0"/>
            <w:vAlign w:val="center"/>
          </w:tcPr>
          <w:p>
            <w:pPr>
              <w:spacing w:line="480" w:lineRule="exact"/>
              <w:jc w:val="left"/>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9" w:hRule="atLeast"/>
        </w:trPr>
        <w:tc>
          <w:tcPr>
            <w:tcW w:w="656" w:type="dxa"/>
            <w:vMerge w:val="continue"/>
            <w:noWrap w:val="0"/>
            <w:vAlign w:val="center"/>
          </w:tcPr>
          <w:p>
            <w:pPr>
              <w:spacing w:line="480" w:lineRule="exact"/>
              <w:jc w:val="center"/>
              <w:rPr>
                <w:rFonts w:hint="default" w:ascii="Times New Roman" w:hAnsi="Times New Roman" w:eastAsia="仿宋_GB2312" w:cs="Times New Roman"/>
                <w:sz w:val="24"/>
                <w:szCs w:val="24"/>
              </w:rPr>
            </w:pPr>
          </w:p>
        </w:tc>
        <w:tc>
          <w:tcPr>
            <w:tcW w:w="1699"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2776"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第四季度末</w:t>
            </w:r>
          </w:p>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（12月下旬）</w:t>
            </w:r>
          </w:p>
        </w:tc>
        <w:tc>
          <w:tcPr>
            <w:tcW w:w="3795"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2664" w:type="dxa"/>
            <w:vMerge w:val="continue"/>
            <w:noWrap w:val="0"/>
            <w:vAlign w:val="center"/>
          </w:tcPr>
          <w:p>
            <w:pPr>
              <w:spacing w:line="480" w:lineRule="exact"/>
              <w:jc w:val="left"/>
              <w:rPr>
                <w:rFonts w:hint="default" w:ascii="Times New Roman" w:hAnsi="Times New Roman" w:eastAsia="仿宋_GB2312" w:cs="Times New Roman"/>
                <w:sz w:val="24"/>
                <w:szCs w:val="24"/>
              </w:rPr>
            </w:pPr>
          </w:p>
        </w:tc>
        <w:tc>
          <w:tcPr>
            <w:tcW w:w="1268" w:type="dxa"/>
            <w:vMerge w:val="continue"/>
            <w:noWrap w:val="0"/>
            <w:vAlign w:val="center"/>
          </w:tcPr>
          <w:p>
            <w:pPr>
              <w:spacing w:line="480" w:lineRule="exact"/>
              <w:jc w:val="left"/>
              <w:rPr>
                <w:rFonts w:hint="default"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trPr>
        <w:tc>
          <w:tcPr>
            <w:tcW w:w="656"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1699"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局设计处</w:t>
            </w:r>
          </w:p>
        </w:tc>
        <w:tc>
          <w:tcPr>
            <w:tcW w:w="2776"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全市勘察设计单位</w:t>
            </w: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w:t>
            </w:r>
            <w:r>
              <w:rPr>
                <w:rFonts w:hint="default" w:ascii="Times New Roman" w:hAnsi="Times New Roman" w:eastAsia="仿宋_GB2312" w:cs="Times New Roman"/>
                <w:sz w:val="24"/>
                <w:szCs w:val="24"/>
                <w:lang w:eastAsia="zh-CN"/>
              </w:rPr>
              <w:t>三</w:t>
            </w:r>
            <w:r>
              <w:rPr>
                <w:rFonts w:hint="default" w:ascii="Times New Roman" w:hAnsi="Times New Roman" w:eastAsia="仿宋_GB2312" w:cs="Times New Roman"/>
                <w:sz w:val="24"/>
                <w:szCs w:val="24"/>
              </w:rPr>
              <w:t>季度</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1.核查勘察设计单位主要专业技术人员配备情况；2.抽查2019年以来已经完成的2-3个项目是否在资质范围内开展业务以及项目勘察设计的前置性程序是否合规。</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《建设工程勘察设计管理条例》《建设工程质量管理条例》《建设工程勘察设计资质管理规定》等。</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p>
        </w:tc>
        <w:tc>
          <w:tcPr>
            <w:tcW w:w="1268"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双随机</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抽查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55"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1699"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局房地产市场监管处</w:t>
            </w:r>
          </w:p>
        </w:tc>
        <w:tc>
          <w:tcPr>
            <w:tcW w:w="2776"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市区（不含赣榆区）房地产开发企业</w:t>
            </w: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第四季度</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无资质、超资质等级开发房地产项目；未取得预售许可证销售商品房，以订购、预订、排号、发卡等方式向买受人收取或者变相收取订金、预订款等费用；捂盘惜售或者变相囤积房源等其他不正当经营行为。</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《中华人民共和国城市房地产管理法》、《城市房地产开发经营管理条例》《房地产经纪管理办法》《商品房销售管理办法》《城市商品房预售管理办法》</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双随机</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抽查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55"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1699"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局建设监察</w:t>
            </w:r>
            <w:r>
              <w:rPr>
                <w:rFonts w:hint="default"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支队</w:t>
            </w:r>
          </w:p>
        </w:tc>
        <w:tc>
          <w:tcPr>
            <w:tcW w:w="2776"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建设单位</w:t>
            </w: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每周三、四</w:t>
            </w:r>
          </w:p>
        </w:tc>
        <w:tc>
          <w:tcPr>
            <w:tcW w:w="3795"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基本建设手续办理情况</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《建筑法》、《建设工程质量管理条例》</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现场、资料检查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0"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w:t>
            </w:r>
          </w:p>
        </w:tc>
        <w:tc>
          <w:tcPr>
            <w:tcW w:w="1699"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局建设监察</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支队</w:t>
            </w:r>
          </w:p>
        </w:tc>
        <w:tc>
          <w:tcPr>
            <w:tcW w:w="2776"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施工单位</w:t>
            </w: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每周三、四</w:t>
            </w:r>
          </w:p>
        </w:tc>
        <w:tc>
          <w:tcPr>
            <w:tcW w:w="3795"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违法分包、转包行为</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《建筑法》、《建设工程质量管理条例》</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现场、资料检查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1"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w:t>
            </w:r>
          </w:p>
        </w:tc>
        <w:tc>
          <w:tcPr>
            <w:tcW w:w="1699"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局建设监察</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支队</w:t>
            </w:r>
          </w:p>
        </w:tc>
        <w:tc>
          <w:tcPr>
            <w:tcW w:w="2776"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监理单位</w:t>
            </w: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每周三、四</w:t>
            </w:r>
          </w:p>
        </w:tc>
        <w:tc>
          <w:tcPr>
            <w:tcW w:w="3795"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监理履职情况</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《建筑法》、《建设工程质量管理条例》</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现场、资料检查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40"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7</w:t>
            </w:r>
          </w:p>
        </w:tc>
        <w:tc>
          <w:tcPr>
            <w:tcW w:w="1699"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市造价站</w:t>
            </w:r>
          </w:p>
        </w:tc>
        <w:tc>
          <w:tcPr>
            <w:tcW w:w="2776"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造价咨询企业</w:t>
            </w: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w:t>
            </w:r>
            <w:r>
              <w:rPr>
                <w:rFonts w:hint="default" w:ascii="Times New Roman" w:hAnsi="Times New Roman" w:eastAsia="仿宋_GB2312" w:cs="Times New Roman"/>
                <w:sz w:val="24"/>
                <w:szCs w:val="24"/>
                <w:lang w:eastAsia="zh-CN"/>
              </w:rPr>
              <w:t>三</w:t>
            </w:r>
            <w:r>
              <w:rPr>
                <w:rFonts w:hint="default" w:ascii="Times New Roman" w:hAnsi="Times New Roman" w:eastAsia="仿宋_GB2312" w:cs="Times New Roman"/>
                <w:sz w:val="24"/>
                <w:szCs w:val="24"/>
              </w:rPr>
              <w:t>季度</w:t>
            </w:r>
          </w:p>
        </w:tc>
        <w:tc>
          <w:tcPr>
            <w:tcW w:w="3795"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造价咨询档案、质量</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《江苏省工程造价咨询企业信用管理办法》</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8</w:t>
            </w:r>
          </w:p>
        </w:tc>
        <w:tc>
          <w:tcPr>
            <w:tcW w:w="1699"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市排水管理</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中心</w:t>
            </w:r>
          </w:p>
        </w:tc>
        <w:tc>
          <w:tcPr>
            <w:tcW w:w="27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连云港市云台宾馆有限责任公司、连鑫玻璃钢有限公司、苏云医疗器械有限公司、连云港苏宁有限公司、市第二人民医院海州院、连云港市第一人民医院、连云港和美妇产医院有限公司、连云港水表有限公司、连云港市中医院、江苏恒瑞医药股份有限公司、连云港爱仕沃玛技术纺织有限公司、第四人民医院、连云港东鼎实业、连云港市振杨纸品、连云港市万千食品、连云港丰达电子有限公司、江苏天福莱集团有限公司、鹰游纺机集团、万达广场、江苏中鹏新材料、连云港天常复合材料、佳杰模具、连利 福思特表业、连云港光明眼科、泰格油墨、正大天晴新厂、康缘药业、连云港瑞都电子有限公司、天晴药业、飞雁毛毯、天晴药业郁州南路厂、杰瑞澳斯特、连云港新海医院、连云港房政置业有限公司（茗馨花园农贸市场）、连云港市社会福利中心、黄海勘探、义乌商品城二期施工临时用房、七一六研究所、博爱中医院、连云港登壹国际酒店有限公司、盐河古巷、连云港市新浦公园、连云港市新浦区路南社区尚岛咖啡店、瀛洲文化公司二营巷街区、天晴大酒店、民主路街区、连云港和兴堂中药材饮片有限责任公司等单位</w:t>
            </w:r>
          </w:p>
        </w:tc>
        <w:tc>
          <w:tcPr>
            <w:tcW w:w="1844"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w:t>
            </w:r>
            <w:r>
              <w:rPr>
                <w:rFonts w:hint="default" w:ascii="Times New Roman" w:hAnsi="Times New Roman" w:eastAsia="仿宋_GB2312" w:cs="Times New Roman"/>
                <w:sz w:val="24"/>
                <w:szCs w:val="24"/>
                <w:lang w:eastAsia="zh-CN"/>
              </w:rPr>
              <w:t>三</w:t>
            </w:r>
            <w:r>
              <w:rPr>
                <w:rFonts w:hint="default" w:ascii="Times New Roman" w:hAnsi="Times New Roman" w:eastAsia="仿宋_GB2312" w:cs="Times New Roman"/>
                <w:sz w:val="24"/>
                <w:szCs w:val="24"/>
              </w:rPr>
              <w:t>季度、</w:t>
            </w: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第</w:t>
            </w:r>
            <w:r>
              <w:rPr>
                <w:rFonts w:hint="default" w:ascii="Times New Roman" w:hAnsi="Times New Roman" w:eastAsia="仿宋_GB2312" w:cs="Times New Roman"/>
                <w:sz w:val="24"/>
                <w:szCs w:val="24"/>
                <w:lang w:eastAsia="zh-CN"/>
              </w:rPr>
              <w:t>四</w:t>
            </w:r>
            <w:r>
              <w:rPr>
                <w:rFonts w:hint="default" w:ascii="Times New Roman" w:hAnsi="Times New Roman" w:eastAsia="仿宋_GB2312" w:cs="Times New Roman"/>
                <w:sz w:val="24"/>
                <w:szCs w:val="24"/>
              </w:rPr>
              <w:t>季度</w:t>
            </w:r>
          </w:p>
        </w:tc>
        <w:tc>
          <w:tcPr>
            <w:tcW w:w="3795"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水质检测</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《城镇污水排入排水管网许可管理办法》</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现场采样监测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trPr>
        <w:tc>
          <w:tcPr>
            <w:tcW w:w="656" w:type="dxa"/>
            <w:noWrap w:val="0"/>
            <w:vAlign w:val="center"/>
          </w:tcPr>
          <w:p>
            <w:pPr>
              <w:spacing w:line="48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9</w:t>
            </w:r>
          </w:p>
        </w:tc>
        <w:tc>
          <w:tcPr>
            <w:tcW w:w="1699"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市散装水泥</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办公室</w:t>
            </w:r>
          </w:p>
        </w:tc>
        <w:tc>
          <w:tcPr>
            <w:tcW w:w="2776"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全市范围内在建工程项目</w:t>
            </w:r>
          </w:p>
        </w:tc>
        <w:tc>
          <w:tcPr>
            <w:tcW w:w="1844"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第一季度、第二季度、第三季度、第四季度</w:t>
            </w:r>
          </w:p>
        </w:tc>
        <w:tc>
          <w:tcPr>
            <w:tcW w:w="3795"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混凝土、</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砂浆现场搅拌行为</w:t>
            </w:r>
          </w:p>
        </w:tc>
        <w:tc>
          <w:tcPr>
            <w:tcW w:w="2664"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《江苏省散装水泥促进条例》第三十条</w:t>
            </w:r>
          </w:p>
        </w:tc>
        <w:tc>
          <w:tcPr>
            <w:tcW w:w="1268" w:type="dxa"/>
            <w:noWrap w:val="0"/>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49"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c>
          <w:tcPr>
            <w:tcW w:w="16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局震害防御处</w:t>
            </w:r>
          </w:p>
        </w:tc>
        <w:tc>
          <w:tcPr>
            <w:tcW w:w="27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建设单位，地方人民政府，地震及有关部门，各类组织和个人</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每年一次（拟定于6月份）</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对抗震设防要求执行情况和地震安全性评价工作的监督检查</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【地方性法规】《江苏省防震减灾条例》（江苏省人大常委会第91号公告）</w:t>
            </w:r>
          </w:p>
        </w:tc>
        <w:tc>
          <w:tcPr>
            <w:tcW w:w="1268" w:type="dxa"/>
            <w:noWrap w:val="0"/>
            <w:vAlign w:val="center"/>
          </w:tcPr>
          <w:p>
            <w:pP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现场检查或书面检查（双随机检查）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11</w:t>
            </w:r>
          </w:p>
        </w:tc>
        <w:tc>
          <w:tcPr>
            <w:tcW w:w="16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局建筑市场监管处牵头</w:t>
            </w:r>
          </w:p>
        </w:tc>
        <w:tc>
          <w:tcPr>
            <w:tcW w:w="27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全市建筑业施工企业、在建项目</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第</w:t>
            </w:r>
            <w:r>
              <w:rPr>
                <w:rFonts w:hint="eastAsia" w:ascii="Times New Roman" w:hAnsi="Times New Roman" w:eastAsia="仿宋_GB2312" w:cs="Times New Roman"/>
                <w:color w:val="000000"/>
                <w:sz w:val="24"/>
                <w:szCs w:val="24"/>
                <w:lang w:eastAsia="zh-CN"/>
              </w:rPr>
              <w:t>三</w:t>
            </w:r>
            <w:r>
              <w:rPr>
                <w:rFonts w:hint="default" w:ascii="Times New Roman" w:hAnsi="Times New Roman" w:eastAsia="仿宋_GB2312" w:cs="Times New Roman"/>
                <w:color w:val="000000"/>
                <w:sz w:val="24"/>
                <w:szCs w:val="24"/>
              </w:rPr>
              <w:t>、第</w:t>
            </w:r>
            <w:r>
              <w:rPr>
                <w:rFonts w:hint="eastAsia" w:ascii="Times New Roman" w:hAnsi="Times New Roman" w:eastAsia="仿宋_GB2312" w:cs="Times New Roman"/>
                <w:color w:val="000000"/>
                <w:sz w:val="24"/>
                <w:szCs w:val="24"/>
                <w:lang w:eastAsia="zh-CN"/>
              </w:rPr>
              <w:t>四</w:t>
            </w:r>
            <w:r>
              <w:rPr>
                <w:rFonts w:hint="default" w:ascii="Times New Roman" w:hAnsi="Times New Roman" w:eastAsia="仿宋_GB2312" w:cs="Times New Roman"/>
                <w:color w:val="000000"/>
                <w:sz w:val="24"/>
                <w:szCs w:val="24"/>
              </w:rPr>
              <w:t>季度</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建筑业企业综合大检查</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关于实施《江苏省建筑业企业信用综合评价办法（试行）》的补充通知（苏建建管〔2016〕82号）</w:t>
            </w:r>
          </w:p>
        </w:tc>
        <w:tc>
          <w:tcPr>
            <w:tcW w:w="1268" w:type="dxa"/>
            <w:noWrap w:val="0"/>
            <w:vAlign w:val="center"/>
          </w:tcPr>
          <w:p>
            <w:pPr>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双随机</w:t>
            </w:r>
            <w:r>
              <w:rPr>
                <w:rFonts w:hint="eastAsia" w:ascii="Times New Roman" w:hAnsi="Times New Roman" w:eastAsia="仿宋_GB2312" w:cs="Times New Roman"/>
                <w:color w:val="000000"/>
                <w:sz w:val="24"/>
                <w:szCs w:val="24"/>
                <w:lang w:val="en-US" w:eastAsia="zh-CN"/>
              </w:rPr>
              <w:t xml:space="preserve">  </w:t>
            </w:r>
            <w:r>
              <w:rPr>
                <w:rFonts w:hint="default" w:ascii="Times New Roman" w:hAnsi="Times New Roman" w:eastAsia="仿宋_GB2312" w:cs="Times New Roman"/>
                <w:color w:val="000000"/>
                <w:sz w:val="24"/>
                <w:szCs w:val="24"/>
              </w:rPr>
              <w:t>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61"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12</w:t>
            </w:r>
          </w:p>
        </w:tc>
        <w:tc>
          <w:tcPr>
            <w:tcW w:w="16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局建筑市场监管处、清欠办</w:t>
            </w:r>
          </w:p>
        </w:tc>
        <w:tc>
          <w:tcPr>
            <w:tcW w:w="27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全市建筑业施工企业、在建项目</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建筑用工实名制四项制度落实情况</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保障农民工工资支付条例（国务院令第724号）</w:t>
            </w: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飞行检查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1" w:hRule="atLeast"/>
        </w:trPr>
        <w:tc>
          <w:tcPr>
            <w:tcW w:w="65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13</w:t>
            </w:r>
          </w:p>
        </w:tc>
        <w:tc>
          <w:tcPr>
            <w:tcW w:w="169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局扬尘办</w:t>
            </w:r>
          </w:p>
        </w:tc>
        <w:tc>
          <w:tcPr>
            <w:tcW w:w="277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市区各建筑工地</w:t>
            </w:r>
          </w:p>
        </w:tc>
        <w:tc>
          <w:tcPr>
            <w:tcW w:w="184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常态化随机检查</w:t>
            </w:r>
          </w:p>
        </w:tc>
        <w:tc>
          <w:tcPr>
            <w:tcW w:w="37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监督各施工工地严格执行《建筑工地扬尘防治标准》，做到工地周边围挡、物料堆放覆盖、土方开挖湿法作业、路面硬化、出入车辆清洗、远程监控安装“六个百分之百”，并安装扬尘在线监测设备，将扬尘管理工作不到位的不良信息纳入建筑市场信用管理体系，情节严重的，列入建筑市场主体“黑名单”，扬尘防治检查评定不合格的建筑工地一律停工整治，限期整改达到合格。</w:t>
            </w:r>
          </w:p>
        </w:tc>
        <w:tc>
          <w:tcPr>
            <w:tcW w:w="266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《大气污染防治法》、《江苏省大气污染防治条例》、《连云港市严格工地扬尘治理十项规定》、《建筑工地扬尘防治标准》</w:t>
            </w:r>
          </w:p>
        </w:tc>
        <w:tc>
          <w:tcPr>
            <w:tcW w:w="1268" w:type="dxa"/>
            <w:noWrap w:val="0"/>
            <w:vAlign w:val="center"/>
          </w:tcPr>
          <w:p>
            <w:pP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现场检查</w:t>
            </w:r>
          </w:p>
        </w:tc>
      </w:tr>
    </w:tbl>
    <w:p>
      <w:pPr>
        <w:spacing w:line="440" w:lineRule="exact"/>
        <w:ind w:right="159"/>
        <w:rPr>
          <w:rFonts w:hint="eastAsia" w:ascii="仿宋" w:hAnsi="仿宋" w:eastAsia="仿宋"/>
          <w:sz w:val="32"/>
          <w:szCs w:val="32"/>
        </w:rPr>
      </w:pPr>
    </w:p>
    <w:p>
      <w:pPr>
        <w:snapToGrid w:val="0"/>
        <w:spacing w:line="460" w:lineRule="exact"/>
        <w:jc w:val="both"/>
        <w:rPr>
          <w:rFonts w:hint="eastAsia" w:ascii="仿宋_GB2312" w:hAnsi="Batang" w:eastAsia="仿宋_GB2312"/>
          <w:sz w:val="44"/>
        </w:rPr>
        <w:sectPr>
          <w:headerReference r:id="rId5" w:type="default"/>
          <w:footerReference r:id="rId6" w:type="default"/>
          <w:footerReference r:id="rId7" w:type="even"/>
          <w:pgSz w:w="16838" w:h="11906" w:orient="landscape"/>
          <w:pgMar w:top="1587" w:right="2098" w:bottom="1474" w:left="1985" w:header="851" w:footer="992" w:gutter="0"/>
          <w:pgBorders>
            <w:top w:val="none" w:sz="0" w:space="0"/>
            <w:left w:val="none" w:sz="0" w:space="0"/>
            <w:bottom w:val="none" w:sz="0" w:space="0"/>
            <w:right w:val="none" w:sz="0" w:space="0"/>
          </w:pgBorders>
          <w:pgNumType w:fmt="numberInDash"/>
          <w:cols w:space="0" w:num="1"/>
          <w:rtlGutter w:val="0"/>
          <w:docGrid w:type="linesAndChars" w:linePitch="481" w:charSpace="-1844"/>
        </w:sectPr>
      </w:pPr>
    </w:p>
    <w:p>
      <w:pPr>
        <w:snapToGrid w:val="0"/>
        <w:spacing w:line="460" w:lineRule="exact"/>
        <w:jc w:val="both"/>
        <w:rPr>
          <w:rFonts w:hint="eastAsia" w:ascii="仿宋_GB2312" w:hAnsi="Batang" w:eastAsia="仿宋_GB2312"/>
          <w:sz w:val="44"/>
        </w:rPr>
      </w:pPr>
    </w:p>
    <w:p>
      <w:pPr>
        <w:spacing w:line="560" w:lineRule="exact"/>
        <w:rPr>
          <w:rFonts w:eastAsia="仿宋_GB2312"/>
          <w:color w:val="000000"/>
          <w:sz w:val="32"/>
          <w:szCs w:val="32"/>
        </w:rPr>
      </w:pPr>
      <w:r>
        <w:rPr>
          <w:rFonts w:hint="eastAsia" w:ascii="仿宋_GB2312" w:eastAsia="仿宋_GB2312"/>
          <w:color w:val="000000"/>
          <w:sz w:val="32"/>
          <w:szCs w:val="32"/>
        </w:rPr>
        <w:t xml:space="preserve">                            </w:t>
      </w:r>
      <w:r>
        <w:rPr>
          <w:rFonts w:eastAsia="仿宋_GB2312"/>
          <w:color w:val="000000"/>
          <w:sz w:val="32"/>
          <w:szCs w:val="32"/>
        </w:rPr>
        <w:t xml:space="preserve"> </w:t>
      </w: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spacing w:line="480" w:lineRule="exact"/>
        <w:rPr>
          <w:rFonts w:hint="default" w:ascii="Times New Roman" w:hAnsi="Times New Roman" w:cs="Times New Roman"/>
          <w:sz w:val="44"/>
          <w:szCs w:val="44"/>
        </w:rPr>
      </w:pPr>
    </w:p>
    <w:p>
      <w:pPr>
        <w:keepNext w:val="0"/>
        <w:keepLines w:val="0"/>
        <w:pageBreakBefore w:val="0"/>
        <w:widowControl w:val="0"/>
        <w:pBdr>
          <w:top w:val="single" w:color="auto" w:sz="4" w:space="1"/>
          <w:bottom w:val="single" w:color="auto" w:sz="4" w:space="1"/>
        </w:pBdr>
        <w:kinsoku/>
        <w:wordWrap/>
        <w:overflowPunct/>
        <w:topLinePunct w:val="0"/>
        <w:autoSpaceDE/>
        <w:autoSpaceDN/>
        <w:bidi w:val="0"/>
        <w:adjustRightInd/>
        <w:snapToGrid/>
        <w:spacing w:line="600" w:lineRule="exact"/>
        <w:textAlignment w:val="auto"/>
        <w:rPr>
          <w:szCs w:val="21"/>
        </w:rPr>
      </w:pPr>
      <w:r>
        <w:rPr>
          <w:rFonts w:hint="default" w:ascii="Times New Roman" w:hAnsi="Times New Roman" w:cs="Times New Roman"/>
          <w:sz w:val="28"/>
          <w:szCs w:val="28"/>
        </w:rPr>
        <w:t xml:space="preserve"> </w:t>
      </w:r>
      <w:r>
        <w:rPr>
          <w:rFonts w:hint="default" w:ascii="Times New Roman" w:hAnsi="Times New Roman" w:eastAsia="仿宋_GB2312" w:cs="Times New Roman"/>
          <w:sz w:val="28"/>
          <w:szCs w:val="28"/>
        </w:rPr>
        <w:t xml:space="preserve"> 连云港市住房和城乡建设局办公室            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24</w:t>
      </w:r>
      <w:r>
        <w:rPr>
          <w:rFonts w:hint="default" w:ascii="Times New Roman" w:hAnsi="Times New Roman" w:eastAsia="仿宋_GB2312" w:cs="Times New Roman"/>
          <w:sz w:val="28"/>
          <w:szCs w:val="28"/>
        </w:rPr>
        <w:t xml:space="preserve">日印发 </w:t>
      </w:r>
      <w:r>
        <w:rPr>
          <w:rFonts w:eastAsia="仿宋_GB2312"/>
          <w:b/>
          <w:bCs/>
          <w:sz w:val="32"/>
          <w:szCs w:val="32"/>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2.25pt;margin-top:-1058.25pt;height:0.05pt;width:438.75pt;z-index:251659264;mso-width-relative:page;mso-height-relative:page;" filled="f" stroked="t" coordsize="21600,21600" o:gfxdata="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hJsbd2QAAAA0BAAAPAAAAAAAAAAEAIAAAACIA&#10;AABkcnMvZG93bnJldi54bWxQSwECFAAUAAAACACHTuJAqhOwV88BAACQAwAADgAAAAAAAAABACAA&#10;AAAoAQAAZHJzL2Uyb0RvYy54bWxQSwUGAAAAAAYABgBZAQAAaQUAAAAA&#10;">
                <v:fill on="f" focussize="0,0"/>
                <v:stroke color="#000000" joinstyle="round"/>
                <v:imagedata o:title=""/>
                <o:lock v:ext="edit" aspectratio="f"/>
              </v:line>
            </w:pict>
          </mc:Fallback>
        </mc:AlternateContent>
      </w:r>
    </w:p>
    <w:sectPr>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altName w:val="微软雅黑"/>
    <w:panose1 w:val="03000509000000000000"/>
    <w:charset w:val="86"/>
    <w:family w:val="swiss"/>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r>
      <w:rPr>
        <w:rFonts w:hint="eastAsia"/>
        <w:sz w:val="28"/>
        <w:szCs w:val="28"/>
      </w:rPr>
      <w:t>-</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840"/>
      <w:rPr>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jG8ccvQEAAGIDAAAOAAAAAAAAAAEAIAAAAB4BAABkcnMvZTJvRG9jLnhtbFBLBQYAAAAA&#10;BgAGAFkBAABNBQAAAAA=&#10;">
              <v:fill on="f" focussize="0,0"/>
              <v:stroke on="f"/>
              <v:imagedata o:title=""/>
              <o:lock v:ext="edit" aspectratio="f"/>
              <v:textbox inset="0mm,0mm,0mm,0mm" style="mso-fit-shape-to-text:t;">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sf/vQEAAGIDAAAOAAAAAAAAAAEAIAAAAB4BAABkcnMvZTJvRG9jLnhtbFBLBQYAAAAA&#10;BgAGAFkBAABNBQAAAAA=&#10;">
              <v:fill on="f" focussize="0,0"/>
              <v:stroke on="f"/>
              <v:imagedata o:title=""/>
              <o:lock v:ext="edit" aspectratio="f"/>
              <v:textbox inset="0mm,0mm,0mm,0mm" style="mso-fit-shape-to-text:t;">
                <w:txbxContent>
                  <w:p>
                    <w:pPr>
                      <w:pStyle w:val="3"/>
                      <w:rPr>
                        <w:rFonts w:hint="default" w:ascii="Times New Roman" w:hAnsi="Times New Roman" w:eastAsia="微软雅黑" w:cs="Times New Roman"/>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HorizontalSpacing w:val="101"/>
  <w:drawingGridVerticalSpacing w:val="481"/>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536"/>
    <w:rsid w:val="0000605A"/>
    <w:rsid w:val="00011173"/>
    <w:rsid w:val="00013CA3"/>
    <w:rsid w:val="00016461"/>
    <w:rsid w:val="000312D8"/>
    <w:rsid w:val="00051D62"/>
    <w:rsid w:val="00051D73"/>
    <w:rsid w:val="00067B52"/>
    <w:rsid w:val="00072450"/>
    <w:rsid w:val="00073A33"/>
    <w:rsid w:val="00074698"/>
    <w:rsid w:val="00074A50"/>
    <w:rsid w:val="00080486"/>
    <w:rsid w:val="000853BC"/>
    <w:rsid w:val="00086693"/>
    <w:rsid w:val="00093778"/>
    <w:rsid w:val="000A0AE1"/>
    <w:rsid w:val="000A60AA"/>
    <w:rsid w:val="000B1FF2"/>
    <w:rsid w:val="000B3DE1"/>
    <w:rsid w:val="000C5AEA"/>
    <w:rsid w:val="000D2173"/>
    <w:rsid w:val="000D5797"/>
    <w:rsid w:val="001072CD"/>
    <w:rsid w:val="00107D6E"/>
    <w:rsid w:val="00142D14"/>
    <w:rsid w:val="00145712"/>
    <w:rsid w:val="00146E58"/>
    <w:rsid w:val="00153536"/>
    <w:rsid w:val="00165C71"/>
    <w:rsid w:val="001A1955"/>
    <w:rsid w:val="001B1A6D"/>
    <w:rsid w:val="001B4897"/>
    <w:rsid w:val="001B5DA3"/>
    <w:rsid w:val="001C19EA"/>
    <w:rsid w:val="001D14E7"/>
    <w:rsid w:val="001D60BA"/>
    <w:rsid w:val="001E13F8"/>
    <w:rsid w:val="001E2498"/>
    <w:rsid w:val="00200A7C"/>
    <w:rsid w:val="00200C11"/>
    <w:rsid w:val="00224BD0"/>
    <w:rsid w:val="002322DB"/>
    <w:rsid w:val="002361E2"/>
    <w:rsid w:val="00236ED8"/>
    <w:rsid w:val="0025441D"/>
    <w:rsid w:val="00255582"/>
    <w:rsid w:val="0025780D"/>
    <w:rsid w:val="00257923"/>
    <w:rsid w:val="00257D0A"/>
    <w:rsid w:val="00263C85"/>
    <w:rsid w:val="002641F8"/>
    <w:rsid w:val="002875FA"/>
    <w:rsid w:val="00291195"/>
    <w:rsid w:val="002A4DA8"/>
    <w:rsid w:val="002A6DDE"/>
    <w:rsid w:val="002B0217"/>
    <w:rsid w:val="002B3237"/>
    <w:rsid w:val="002C09F4"/>
    <w:rsid w:val="002C7B5C"/>
    <w:rsid w:val="002F0766"/>
    <w:rsid w:val="003022AC"/>
    <w:rsid w:val="003104F3"/>
    <w:rsid w:val="00312EB5"/>
    <w:rsid w:val="00340A75"/>
    <w:rsid w:val="0034580A"/>
    <w:rsid w:val="0034660A"/>
    <w:rsid w:val="003475D5"/>
    <w:rsid w:val="00355FC6"/>
    <w:rsid w:val="0035637F"/>
    <w:rsid w:val="00363014"/>
    <w:rsid w:val="0037083C"/>
    <w:rsid w:val="003748B5"/>
    <w:rsid w:val="003849DF"/>
    <w:rsid w:val="00387B56"/>
    <w:rsid w:val="003A4679"/>
    <w:rsid w:val="003A6186"/>
    <w:rsid w:val="003D0228"/>
    <w:rsid w:val="003D028A"/>
    <w:rsid w:val="003D6FDF"/>
    <w:rsid w:val="0040228A"/>
    <w:rsid w:val="00433220"/>
    <w:rsid w:val="0044383F"/>
    <w:rsid w:val="00443FAD"/>
    <w:rsid w:val="004636AC"/>
    <w:rsid w:val="00476047"/>
    <w:rsid w:val="00490C67"/>
    <w:rsid w:val="004964B4"/>
    <w:rsid w:val="004C4BA7"/>
    <w:rsid w:val="004D12C6"/>
    <w:rsid w:val="004E7AA6"/>
    <w:rsid w:val="004F122F"/>
    <w:rsid w:val="004F4D68"/>
    <w:rsid w:val="0050785E"/>
    <w:rsid w:val="005103D7"/>
    <w:rsid w:val="00515847"/>
    <w:rsid w:val="00520560"/>
    <w:rsid w:val="005261F1"/>
    <w:rsid w:val="005349DF"/>
    <w:rsid w:val="00540CEE"/>
    <w:rsid w:val="00544F72"/>
    <w:rsid w:val="00550567"/>
    <w:rsid w:val="00573F69"/>
    <w:rsid w:val="00577796"/>
    <w:rsid w:val="00581114"/>
    <w:rsid w:val="0058314D"/>
    <w:rsid w:val="0058465D"/>
    <w:rsid w:val="00586BD8"/>
    <w:rsid w:val="005900F7"/>
    <w:rsid w:val="005A1F6E"/>
    <w:rsid w:val="005A2F69"/>
    <w:rsid w:val="005B7DB5"/>
    <w:rsid w:val="005C58FB"/>
    <w:rsid w:val="005D1FB3"/>
    <w:rsid w:val="005D51C2"/>
    <w:rsid w:val="005F7E37"/>
    <w:rsid w:val="0061567B"/>
    <w:rsid w:val="0062247F"/>
    <w:rsid w:val="00631274"/>
    <w:rsid w:val="00641602"/>
    <w:rsid w:val="00642810"/>
    <w:rsid w:val="006654FE"/>
    <w:rsid w:val="006711A0"/>
    <w:rsid w:val="00677DC0"/>
    <w:rsid w:val="006854D5"/>
    <w:rsid w:val="0068621D"/>
    <w:rsid w:val="006A4A9E"/>
    <w:rsid w:val="006A4B50"/>
    <w:rsid w:val="006A5E59"/>
    <w:rsid w:val="006B0DC8"/>
    <w:rsid w:val="006B1B09"/>
    <w:rsid w:val="006B4A00"/>
    <w:rsid w:val="006C3A1F"/>
    <w:rsid w:val="006D2E86"/>
    <w:rsid w:val="006D5E4A"/>
    <w:rsid w:val="006E3400"/>
    <w:rsid w:val="006E4951"/>
    <w:rsid w:val="006E528B"/>
    <w:rsid w:val="006E636D"/>
    <w:rsid w:val="006F38B1"/>
    <w:rsid w:val="0072313F"/>
    <w:rsid w:val="00743E62"/>
    <w:rsid w:val="00744C4A"/>
    <w:rsid w:val="0074729F"/>
    <w:rsid w:val="00754BBD"/>
    <w:rsid w:val="00767FA1"/>
    <w:rsid w:val="0077693E"/>
    <w:rsid w:val="00782F05"/>
    <w:rsid w:val="00791F54"/>
    <w:rsid w:val="0079202A"/>
    <w:rsid w:val="00797C21"/>
    <w:rsid w:val="007B4F5A"/>
    <w:rsid w:val="007C50E9"/>
    <w:rsid w:val="007D6735"/>
    <w:rsid w:val="007E6B68"/>
    <w:rsid w:val="00800993"/>
    <w:rsid w:val="0080211E"/>
    <w:rsid w:val="00811513"/>
    <w:rsid w:val="0082038D"/>
    <w:rsid w:val="00830101"/>
    <w:rsid w:val="00836C33"/>
    <w:rsid w:val="00861597"/>
    <w:rsid w:val="008623E2"/>
    <w:rsid w:val="00884B2D"/>
    <w:rsid w:val="008858E7"/>
    <w:rsid w:val="008901FB"/>
    <w:rsid w:val="008A08FC"/>
    <w:rsid w:val="008A6A09"/>
    <w:rsid w:val="008A7876"/>
    <w:rsid w:val="008D096C"/>
    <w:rsid w:val="008D3D99"/>
    <w:rsid w:val="008D5871"/>
    <w:rsid w:val="008E7695"/>
    <w:rsid w:val="008F11AC"/>
    <w:rsid w:val="0091089A"/>
    <w:rsid w:val="00912F51"/>
    <w:rsid w:val="009156C8"/>
    <w:rsid w:val="009207D8"/>
    <w:rsid w:val="00924747"/>
    <w:rsid w:val="009344C3"/>
    <w:rsid w:val="00944CEC"/>
    <w:rsid w:val="009450A7"/>
    <w:rsid w:val="009477D3"/>
    <w:rsid w:val="00950040"/>
    <w:rsid w:val="00950883"/>
    <w:rsid w:val="00954D08"/>
    <w:rsid w:val="0096349F"/>
    <w:rsid w:val="00975402"/>
    <w:rsid w:val="00975827"/>
    <w:rsid w:val="00985843"/>
    <w:rsid w:val="009900CF"/>
    <w:rsid w:val="00991D51"/>
    <w:rsid w:val="009A5DD2"/>
    <w:rsid w:val="009B303B"/>
    <w:rsid w:val="009B4E83"/>
    <w:rsid w:val="009B5357"/>
    <w:rsid w:val="009C2F26"/>
    <w:rsid w:val="009D3615"/>
    <w:rsid w:val="009D5B34"/>
    <w:rsid w:val="009D7671"/>
    <w:rsid w:val="009E7B6D"/>
    <w:rsid w:val="009F755D"/>
    <w:rsid w:val="00A04200"/>
    <w:rsid w:val="00A12007"/>
    <w:rsid w:val="00A14B3C"/>
    <w:rsid w:val="00A21CB5"/>
    <w:rsid w:val="00A24EB4"/>
    <w:rsid w:val="00A333D0"/>
    <w:rsid w:val="00A4533F"/>
    <w:rsid w:val="00A72AD6"/>
    <w:rsid w:val="00AA154F"/>
    <w:rsid w:val="00AC109D"/>
    <w:rsid w:val="00AC39CA"/>
    <w:rsid w:val="00AD178E"/>
    <w:rsid w:val="00AD63F2"/>
    <w:rsid w:val="00AE17AE"/>
    <w:rsid w:val="00AF1F84"/>
    <w:rsid w:val="00AF4FB6"/>
    <w:rsid w:val="00AF608C"/>
    <w:rsid w:val="00B0717B"/>
    <w:rsid w:val="00B11463"/>
    <w:rsid w:val="00B22480"/>
    <w:rsid w:val="00B32FA7"/>
    <w:rsid w:val="00B43EB9"/>
    <w:rsid w:val="00B521F6"/>
    <w:rsid w:val="00B55BEB"/>
    <w:rsid w:val="00B81E20"/>
    <w:rsid w:val="00B85A26"/>
    <w:rsid w:val="00B92761"/>
    <w:rsid w:val="00BA5C0E"/>
    <w:rsid w:val="00BB7783"/>
    <w:rsid w:val="00BC7EFB"/>
    <w:rsid w:val="00BE058A"/>
    <w:rsid w:val="00BF78F5"/>
    <w:rsid w:val="00C073AE"/>
    <w:rsid w:val="00C15661"/>
    <w:rsid w:val="00C16702"/>
    <w:rsid w:val="00C22E38"/>
    <w:rsid w:val="00C31C9B"/>
    <w:rsid w:val="00C34013"/>
    <w:rsid w:val="00C51465"/>
    <w:rsid w:val="00C841EF"/>
    <w:rsid w:val="00C85530"/>
    <w:rsid w:val="00C8568B"/>
    <w:rsid w:val="00C91BEE"/>
    <w:rsid w:val="00C92CCD"/>
    <w:rsid w:val="00C93AC4"/>
    <w:rsid w:val="00CA7F51"/>
    <w:rsid w:val="00CB0E81"/>
    <w:rsid w:val="00CB5A9E"/>
    <w:rsid w:val="00CC0C12"/>
    <w:rsid w:val="00CF3261"/>
    <w:rsid w:val="00CF346B"/>
    <w:rsid w:val="00D21294"/>
    <w:rsid w:val="00D21B76"/>
    <w:rsid w:val="00D3276F"/>
    <w:rsid w:val="00D417CF"/>
    <w:rsid w:val="00D43D7F"/>
    <w:rsid w:val="00D4498A"/>
    <w:rsid w:val="00D44B63"/>
    <w:rsid w:val="00D4656F"/>
    <w:rsid w:val="00D53D8A"/>
    <w:rsid w:val="00D60BB3"/>
    <w:rsid w:val="00D612D0"/>
    <w:rsid w:val="00D653FC"/>
    <w:rsid w:val="00D72911"/>
    <w:rsid w:val="00D74DE3"/>
    <w:rsid w:val="00D835A3"/>
    <w:rsid w:val="00D951AB"/>
    <w:rsid w:val="00DB7FCC"/>
    <w:rsid w:val="00DC156C"/>
    <w:rsid w:val="00DC3438"/>
    <w:rsid w:val="00DD1EE5"/>
    <w:rsid w:val="00DD5015"/>
    <w:rsid w:val="00DF17E5"/>
    <w:rsid w:val="00DF2602"/>
    <w:rsid w:val="00DF4A21"/>
    <w:rsid w:val="00E0333A"/>
    <w:rsid w:val="00E04ED4"/>
    <w:rsid w:val="00E16507"/>
    <w:rsid w:val="00E32F7D"/>
    <w:rsid w:val="00E333B2"/>
    <w:rsid w:val="00E47AF2"/>
    <w:rsid w:val="00E51949"/>
    <w:rsid w:val="00E5619F"/>
    <w:rsid w:val="00E5791C"/>
    <w:rsid w:val="00E61E03"/>
    <w:rsid w:val="00E642B4"/>
    <w:rsid w:val="00EA5205"/>
    <w:rsid w:val="00EB6565"/>
    <w:rsid w:val="00EC3FD3"/>
    <w:rsid w:val="00ED622C"/>
    <w:rsid w:val="00EE0E2C"/>
    <w:rsid w:val="00EE1969"/>
    <w:rsid w:val="00EF6CDF"/>
    <w:rsid w:val="00F10243"/>
    <w:rsid w:val="00F111FA"/>
    <w:rsid w:val="00F25331"/>
    <w:rsid w:val="00F32489"/>
    <w:rsid w:val="00F53FA5"/>
    <w:rsid w:val="00F55D43"/>
    <w:rsid w:val="00F63DC0"/>
    <w:rsid w:val="00F65FF8"/>
    <w:rsid w:val="00F729EC"/>
    <w:rsid w:val="00F85144"/>
    <w:rsid w:val="00F90E2E"/>
    <w:rsid w:val="00FA3444"/>
    <w:rsid w:val="00FB5AFE"/>
    <w:rsid w:val="00FB6E37"/>
    <w:rsid w:val="00FC0999"/>
    <w:rsid w:val="00FC57C1"/>
    <w:rsid w:val="00FD4164"/>
    <w:rsid w:val="00FF3F22"/>
    <w:rsid w:val="00FF5FC9"/>
    <w:rsid w:val="1A996ADB"/>
    <w:rsid w:val="1C8D4426"/>
    <w:rsid w:val="1F3A7B4B"/>
    <w:rsid w:val="23F30A91"/>
    <w:rsid w:val="25102021"/>
    <w:rsid w:val="2AEE3492"/>
    <w:rsid w:val="2DA02EE8"/>
    <w:rsid w:val="37DD6C7B"/>
    <w:rsid w:val="45D25817"/>
    <w:rsid w:val="46CB4B6C"/>
    <w:rsid w:val="4BB73C10"/>
    <w:rsid w:val="544B6F9E"/>
    <w:rsid w:val="5D964B36"/>
    <w:rsid w:val="5E4B16D0"/>
    <w:rsid w:val="5EC24654"/>
    <w:rsid w:val="64B940F2"/>
    <w:rsid w:val="6DDE7C0D"/>
    <w:rsid w:val="70CD5179"/>
    <w:rsid w:val="7285772D"/>
    <w:rsid w:val="77066559"/>
    <w:rsid w:val="775E5B74"/>
    <w:rsid w:val="77C02A00"/>
    <w:rsid w:val="7B1B39CF"/>
    <w:rsid w:val="7E3930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ind w:firstLine="720" w:firstLineChars="200"/>
    </w:pPr>
    <w:rPr>
      <w:rFonts w:ascii="黑体" w:eastAsia="黑体"/>
      <w:sz w:val="36"/>
      <w:szCs w:val="32"/>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kern w:val="0"/>
      <w:sz w:val="24"/>
    </w:rPr>
  </w:style>
  <w:style w:type="table" w:styleId="7">
    <w:name w:val="Table Grid"/>
    <w:basedOn w:val="6"/>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9">
    <w:name w:val="page number"/>
    <w:basedOn w:val="8"/>
    <w:qFormat/>
    <w:uiPriority w:val="0"/>
    <w:rPr>
      <w:rFonts w:ascii="Times New Roman" w:hAnsi="Times New Roman" w:eastAsia="宋体" w:cs="Times New Roman"/>
    </w:rPr>
  </w:style>
  <w:style w:type="paragraph" w:customStyle="1" w:styleId="10">
    <w:name w:val="Default"/>
    <w:qFormat/>
    <w:uiPriority w:val="0"/>
    <w:pPr>
      <w:widowControl w:val="0"/>
      <w:autoSpaceDE w:val="0"/>
      <w:autoSpaceDN w:val="0"/>
      <w:adjustRightInd w:val="0"/>
      <w:spacing w:after="0" w:line="240" w:lineRule="auto"/>
    </w:pPr>
    <w:rPr>
      <w:rFonts w:ascii="方正小标宋_GBK" w:hAnsi="方正小标宋_GBK" w:eastAsia="微软雅黑" w:cs="方正小标宋_GBK"/>
      <w:color w:val="000000"/>
      <w:sz w:val="24"/>
      <w:szCs w:val="24"/>
      <w:lang w:val="en-US" w:eastAsia="zh-CN" w:bidi="ar-SA"/>
    </w:rPr>
  </w:style>
  <w:style w:type="character" w:customStyle="1" w:styleId="11">
    <w:name w:val="页眉 Char"/>
    <w:link w:val="4"/>
    <w:qFormat/>
    <w:uiPriority w:val="0"/>
    <w:rPr>
      <w:kern w:val="2"/>
      <w:sz w:val="18"/>
      <w:szCs w:val="18"/>
    </w:rPr>
  </w:style>
  <w:style w:type="character" w:customStyle="1" w:styleId="12">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49</Words>
  <Characters>283</Characters>
  <Lines>2</Lines>
  <Paragraphs>1</Paragraphs>
  <TotalTime>1</TotalTime>
  <ScaleCrop>false</ScaleCrop>
  <LinksUpToDate>false</LinksUpToDate>
  <CharactersWithSpaces>331</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2019-09-16T03:32:00Z</dcterms:created>
  <dc:creator>Billgates</dc:creator>
  <cp:lastModifiedBy>Administrator</cp:lastModifiedBy>
  <cp:lastPrinted>2016-05-26T02:05:00Z</cp:lastPrinted>
  <dcterms:modified xsi:type="dcterms:W3CDTF">2020-04-26T01:47:28Z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