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980" w:lineRule="exact"/>
        <w:jc w:val="center"/>
        <w:rPr>
          <w:rFonts w:ascii="方正小标宋简体" w:eastAsia="方正小标宋简体"/>
          <w:color w:val="FF0000"/>
          <w:spacing w:val="40"/>
          <w:w w:val="60"/>
          <w:sz w:val="96"/>
          <w:szCs w:val="96"/>
        </w:rPr>
      </w:pPr>
    </w:p>
    <w:p>
      <w:pPr>
        <w:snapToGrid w:val="0"/>
        <w:jc w:val="center"/>
        <w:rPr>
          <w:rFonts w:ascii="方正小标宋简体" w:eastAsia="方正小标宋简体"/>
          <w:color w:val="FF0000"/>
          <w:spacing w:val="30"/>
          <w:w w:val="60"/>
          <w:sz w:val="96"/>
          <w:szCs w:val="96"/>
        </w:rPr>
      </w:pPr>
      <w:r>
        <w:rPr>
          <w:rFonts w:hint="eastAsia" w:ascii="方正小标宋简体" w:eastAsia="方正小标宋简体"/>
          <w:color w:val="FF0000"/>
          <w:spacing w:val="30"/>
          <w:w w:val="60"/>
          <w:sz w:val="96"/>
          <w:szCs w:val="96"/>
        </w:rPr>
        <w:t>连云港市住房和城乡</w:t>
      </w:r>
      <w:r>
        <w:rPr>
          <w:rFonts w:ascii="方正小标宋简体" w:eastAsia="方正小标宋简体"/>
          <w:color w:val="FF0000"/>
          <w:spacing w:val="30"/>
          <w:w w:val="60"/>
          <w:sz w:val="96"/>
          <w:szCs w:val="96"/>
        </w:rPr>
        <w:t>建设局</w:t>
      </w:r>
      <w:r>
        <w:rPr>
          <w:rFonts w:hint="eastAsia" w:ascii="方正小标宋简体" w:eastAsia="方正小标宋简体"/>
          <w:color w:val="FF0000"/>
          <w:spacing w:val="30"/>
          <w:w w:val="60"/>
          <w:sz w:val="96"/>
          <w:szCs w:val="96"/>
        </w:rPr>
        <w:t>文件</w:t>
      </w:r>
    </w:p>
    <w:p>
      <w:pPr>
        <w:snapToGrid w:val="0"/>
        <w:spacing w:line="480" w:lineRule="exact"/>
        <w:jc w:val="center"/>
        <w:rPr>
          <w:rFonts w:ascii="仿宋_GB2312" w:hAnsi="Batang" w:eastAsia="仿宋_GB2312"/>
          <w:sz w:val="40"/>
          <w:szCs w:val="40"/>
        </w:rPr>
      </w:pPr>
    </w:p>
    <w:p>
      <w:pPr>
        <w:snapToGrid w:val="0"/>
        <w:spacing w:line="480" w:lineRule="exact"/>
        <w:jc w:val="center"/>
        <w:rPr>
          <w:rFonts w:ascii="仿宋_GB2312" w:hAnsi="Batang" w:eastAsia="仿宋_GB2312"/>
          <w:sz w:val="40"/>
          <w:szCs w:val="40"/>
        </w:rPr>
      </w:pPr>
    </w:p>
    <w:p>
      <w:pPr>
        <w:tabs>
          <w:tab w:val="left" w:pos="10190"/>
        </w:tabs>
        <w:snapToGrid w:val="0"/>
        <w:spacing w:beforeLines="10" w:line="460" w:lineRule="exact"/>
        <w:ind w:firstLine="305" w:firstLineChars="98"/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文号"/>
      <w:r>
        <w:rPr>
          <w:rFonts w:hint="eastAsia" w:ascii="Times New Roman" w:hAnsi="Times New Roman" w:eastAsia="仿宋_GB2312"/>
          <w:sz w:val="32"/>
          <w:szCs w:val="32"/>
        </w:rPr>
        <w:t>连建科〔2022〕14号</w:t>
      </w:r>
      <w:bookmarkEnd w:id="0"/>
    </w:p>
    <w:p>
      <w:pPr>
        <w:snapToGrid w:val="0"/>
        <w:spacing w:beforeLines="10" w:line="460" w:lineRule="exact"/>
        <w:rPr>
          <w:rFonts w:ascii="仿宋_GB2312" w:hAnsi="Batang" w:eastAsia="仿宋_GB2312"/>
          <w:sz w:val="44"/>
        </w:rPr>
      </w:pPr>
      <w:r>
        <w:rPr>
          <w:rFonts w:ascii="仿宋_GB2312" w:hAnsi="Batang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98425</wp:posOffset>
                </wp:positionV>
                <wp:extent cx="5572125" cy="635"/>
                <wp:effectExtent l="0" t="13970" r="9525" b="23495"/>
                <wp:wrapNone/>
                <wp:docPr id="1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2.25pt;margin-top:7.75pt;height:0.05pt;width:438.75pt;z-index:251659264;mso-width-relative:page;mso-height-relative:page;" filled="f" stroked="t" coordsize="21600,21600" o:gfxdata="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BUJ4XVAAAABwEAAA8AAAAAAAAAAQAgAAAAIgAAAGRycy9kb3ducmV2LnhtbFBLAQIUABQAAAAI&#10;AIdO4kDsq/tp8AEAAO0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bookmarkStart w:id="1" w:name="附件"/>
      <w:bookmarkEnd w:id="1"/>
    </w:p>
    <w:p>
      <w:pPr>
        <w:spacing w:line="560" w:lineRule="exact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连云港市住房和城乡建设局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关于印发</w:t>
      </w:r>
      <w:bookmarkStart w:id="2" w:name="_Hlk68553752"/>
      <w:r>
        <w:rPr>
          <w:rFonts w:hint="eastAsia" w:ascii="方正小标宋简体" w:hAnsi="Times New Roman" w:eastAsia="方正小标宋简体"/>
          <w:bCs/>
          <w:sz w:val="44"/>
          <w:szCs w:val="44"/>
        </w:rPr>
        <w:t>连云港市公共建筑合理用能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指标的通知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</w:p>
    <w:bookmarkEnd w:id="2"/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各有关单位：</w:t>
      </w:r>
    </w:p>
    <w:p>
      <w:pPr>
        <w:spacing w:line="560" w:lineRule="exact"/>
        <w:ind w:firstLine="62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贯彻国家碳达峰碳中和的重大决策部署，深入推进公共建筑节能降耗，引导公共建筑合理用能，实现公共建筑节能科学管理。连云港市住房和城乡建设局开展了《连云港市公共建筑能耗限额制定》的课题研究，对全市的机关办公类建筑、文化教育类建筑、医疗卫生类建筑、宾馆类建筑进行了分类研究，并制定出相应能耗限额。根据《江苏省绿色建筑发展条例》要求和本次课题成果，现发布连云港市公共建筑合理用能指标。请各单位对照合理用能指标，积极开展用能管理，不断提高节能水平。</w:t>
      </w:r>
    </w:p>
    <w:p>
      <w:pPr>
        <w:spacing w:line="560" w:lineRule="exact"/>
        <w:ind w:firstLine="62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联系人：市住建局 王韬杰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联系电话：83081781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560" w:lineRule="exact"/>
        <w:ind w:firstLine="622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2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附件：1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>连云港市公共建筑合理用能指标</w:t>
      </w:r>
    </w:p>
    <w:p>
      <w:pPr>
        <w:spacing w:line="560" w:lineRule="exact"/>
        <w:ind w:firstLine="1580" w:firstLineChars="508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指标说明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4114" w:firstLineChars="1323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连云港市住房和城乡建设局</w:t>
      </w:r>
    </w:p>
    <w:p>
      <w:pPr>
        <w:spacing w:line="560" w:lineRule="exact"/>
        <w:ind w:firstLine="4876" w:firstLineChars="1568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2022年1月1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AndChars" w:linePitch="481" w:charSpace="-1844"/>
        </w:sect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</w:t>
      </w:r>
    </w:p>
    <w:p>
      <w:pPr>
        <w:spacing w:line="560" w:lineRule="exact"/>
        <w:rPr>
          <w:rFonts w:ascii="Times New Roman" w:hAnsi="Times New Roman" w:eastAsia="黑体"/>
          <w:bCs/>
          <w:sz w:val="32"/>
          <w:szCs w:val="32"/>
        </w:rPr>
      </w:pPr>
      <w:bookmarkStart w:id="3" w:name="_Hlk73436929"/>
      <w:r>
        <w:rPr>
          <w:rFonts w:ascii="Times New Roman" w:hAnsi="黑体" w:eastAsia="黑体"/>
          <w:bCs/>
          <w:sz w:val="32"/>
          <w:szCs w:val="32"/>
        </w:rPr>
        <w:t>附件</w:t>
      </w:r>
      <w:r>
        <w:rPr>
          <w:rFonts w:ascii="Times New Roman" w:hAnsi="Times New Roman" w:eastAsia="黑体"/>
          <w:bCs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连云港市公共建筑合理用能指标</w:t>
      </w:r>
      <w:bookmarkEnd w:id="3"/>
    </w:p>
    <w:p>
      <w:pPr>
        <w:numPr>
          <w:ilvl w:val="0"/>
          <w:numId w:val="1"/>
        </w:numPr>
        <w:spacing w:line="560" w:lineRule="exact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机关办公建筑合理用能指标</w:t>
      </w:r>
    </w:p>
    <w:tbl>
      <w:tblPr>
        <w:tblStyle w:val="7"/>
        <w:tblW w:w="875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641"/>
        <w:gridCol w:w="1689"/>
        <w:gridCol w:w="2149"/>
        <w:gridCol w:w="19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fldChar w:fldCharType="begin"/>
            </w:r>
            <w:r>
              <w:rPr>
                <w:rFonts w:ascii="Times New Roman" w:hAnsi="Times New Roman"/>
                <w:szCs w:val="21"/>
              </w:rPr>
              <w:instrText xml:space="preserve"> LINK Excel.Sheet.12 G:\\江苏项目\\连云港项目\\2022\\连云港限额发布\\限额计算方法.xlsx Sheet1!R4C3:R7C7 \a \f 4 \h  \* MERGEFORMAT </w:instrText>
            </w:r>
            <w:r>
              <w:rPr>
                <w:rFonts w:ascii="Times New Roman" w:hAnsi="Times New Roman"/>
                <w:szCs w:val="21"/>
              </w:rPr>
              <w:fldChar w:fldCharType="separate"/>
            </w:r>
            <w:bookmarkStart w:id="5" w:name="_GoBack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建筑类型</w:t>
            </w:r>
            <w:bookmarkEnd w:id="5"/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单位建筑面积年综合能耗（标煤）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［kgce/( 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•a)］</w:t>
            </w:r>
          </w:p>
        </w:tc>
        <w:tc>
          <w:tcPr>
            <w:tcW w:w="4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单位建筑面积年综合能耗（等效电量）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［kW.h/( 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•a)］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引导值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约束值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引导值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约束值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市级机关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8.9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29.7 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县级机关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6.7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22.3 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53.3 </w:t>
            </w:r>
          </w:p>
        </w:tc>
      </w:tr>
    </w:tbl>
    <w:p>
      <w:pPr>
        <w:spacing w:line="560" w:lineRule="exact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21"/>
          <w:szCs w:val="21"/>
        </w:rPr>
        <w:fldChar w:fldCharType="end"/>
      </w:r>
      <w:r>
        <w:rPr>
          <w:rFonts w:hint="eastAsia" w:ascii="Times New Roman" w:hAnsi="Times New Roman" w:eastAsia="方正仿宋_GBK"/>
          <w:b/>
          <w:bCs/>
          <w:sz w:val="32"/>
          <w:szCs w:val="32"/>
        </w:rPr>
        <w:t>二、文化教育建筑合理用能指标</w:t>
      </w:r>
    </w:p>
    <w:tbl>
      <w:tblPr>
        <w:tblStyle w:val="7"/>
        <w:tblW w:w="907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637"/>
        <w:gridCol w:w="1701"/>
        <w:gridCol w:w="1985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LINK Excel.Sheet.12 G:\\江苏项目\\连云港项目\\2022\\连云港限额发布\\限额计算方法.xlsx Sheet1!R13C7:R18C11 \a \f 4 \h  \* MERGEFORMAT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建筑类型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单位建筑面积年综合能耗（标煤）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［kgce/( 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•a)］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单位建筑面积年综合能耗（等效电量）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［kW.h/( 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•a)］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引导值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约束值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引导值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约束值</w:t>
            </w:r>
          </w:p>
        </w:tc>
      </w:tr>
      <w:tr>
        <w:trPr>
          <w:trHeight w:val="621" w:hRule="atLeast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13.3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</w:tr>
      <w:tr>
        <w:trPr>
          <w:trHeight w:val="533" w:hRule="atLeast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中学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高等院校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26.7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43.3</w:t>
            </w:r>
          </w:p>
        </w:tc>
      </w:tr>
    </w:tbl>
    <w:p>
      <w:pPr>
        <w:spacing w:line="560" w:lineRule="exact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fldChar w:fldCharType="end"/>
      </w:r>
      <w:r>
        <w:rPr>
          <w:rFonts w:hint="eastAsia" w:ascii="Times New Roman" w:hAnsi="Times New Roman" w:eastAsia="方正仿宋_GBK"/>
          <w:b/>
          <w:bCs/>
          <w:sz w:val="32"/>
          <w:szCs w:val="32"/>
        </w:rPr>
        <w:t>三、医疗卫生建筑合理用能指标</w:t>
      </w:r>
    </w:p>
    <w:tbl>
      <w:tblPr>
        <w:tblStyle w:val="7"/>
        <w:tblW w:w="912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940"/>
        <w:gridCol w:w="1751"/>
        <w:gridCol w:w="2148"/>
        <w:gridCol w:w="1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建筑类型</w:t>
            </w:r>
          </w:p>
        </w:tc>
        <w:tc>
          <w:tcPr>
            <w:tcW w:w="3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单位建筑面积年综合能耗（标煤）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［kgce/( 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•a)］</w:t>
            </w: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单位建筑面积年综合能耗（等效电量）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［kW.h/( 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•a)］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引导值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约束值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引导值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约束值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社区卫生院及服务中心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33.3 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二级医院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56.7 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三级医院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76.7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210 </w:t>
            </w:r>
          </w:p>
        </w:tc>
      </w:tr>
    </w:tbl>
    <w:p>
      <w:pPr>
        <w:spacing w:line="560" w:lineRule="exact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四、宾馆建筑合理用能指标</w:t>
      </w:r>
    </w:p>
    <w:tbl>
      <w:tblPr>
        <w:tblStyle w:val="7"/>
        <w:tblW w:w="911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889"/>
        <w:gridCol w:w="1673"/>
        <w:gridCol w:w="1671"/>
        <w:gridCol w:w="21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建筑类型</w:t>
            </w:r>
          </w:p>
        </w:tc>
        <w:tc>
          <w:tcPr>
            <w:tcW w:w="3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4" w:name="_Hlk93071804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单位建筑面积年综合能耗（标煤）</w:t>
            </w:r>
            <w:bookmarkEnd w:id="4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［kgce/( 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•a)］</w:t>
            </w:r>
          </w:p>
        </w:tc>
        <w:tc>
          <w:tcPr>
            <w:tcW w:w="3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单位建筑面积年综合能耗（等效电量）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［kW.h/( 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•a)］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引导值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约束值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引导值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约束值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经济型酒店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83.3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106.7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豪华型酒店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93.3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146.7 </w:t>
            </w:r>
          </w:p>
        </w:tc>
      </w:tr>
    </w:tbl>
    <w:p>
      <w:pPr>
        <w:ind w:firstLine="2951" w:firstLineChars="1400"/>
        <w:rPr>
          <w:rFonts w:ascii="Times New Roman" w:hAnsi="Times New Roman"/>
          <w:b/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4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pStyle w:val="13"/>
        <w:spacing w:line="440" w:lineRule="exact"/>
        <w:ind w:left="432" w:firstLine="0" w:firstLineChars="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指标说明</w:t>
      </w:r>
    </w:p>
    <w:p>
      <w:pPr>
        <w:spacing w:line="420" w:lineRule="exact"/>
        <w:ind w:firstLine="56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  <w:t>一、名词解释</w:t>
      </w:r>
    </w:p>
    <w:p>
      <w:pPr>
        <w:pStyle w:val="13"/>
        <w:widowControl/>
        <w:spacing w:line="420" w:lineRule="exact"/>
        <w:ind w:firstLine="640"/>
        <w:contextualSpacing/>
        <w:jc w:val="left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1</w:t>
      </w:r>
      <w:r>
        <w:rPr>
          <w:rFonts w:hint="eastAsia" w:ascii="Times New Roman" w:hAnsi="Times New Roman" w:eastAsia="方正仿宋_GBK"/>
          <w:b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b/>
          <w:sz w:val="32"/>
          <w:szCs w:val="32"/>
        </w:rPr>
        <w:t>建筑能耗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公共建筑运行过程中，除交通工具用能之外消耗的各种能源实物量。</w:t>
      </w:r>
    </w:p>
    <w:p>
      <w:pPr>
        <w:pStyle w:val="13"/>
        <w:widowControl/>
        <w:spacing w:line="420" w:lineRule="exact"/>
        <w:ind w:firstLine="640"/>
        <w:contextualSpacing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2</w:t>
      </w:r>
      <w:r>
        <w:rPr>
          <w:rFonts w:hint="eastAsia" w:ascii="Times New Roman" w:hAnsi="Times New Roman" w:eastAsia="方正仿宋_GBK"/>
          <w:b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b/>
          <w:sz w:val="32"/>
          <w:szCs w:val="32"/>
        </w:rPr>
        <w:t>单位建筑面积年综合能耗（标煤）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在一个自然年内，建筑能耗与建筑面积的比值。单位为千克标准煤每平方米每年kgce /(m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•a)。</w:t>
      </w:r>
    </w:p>
    <w:p>
      <w:pPr>
        <w:pStyle w:val="13"/>
        <w:widowControl/>
        <w:spacing w:line="420" w:lineRule="exact"/>
        <w:ind w:firstLine="640"/>
        <w:contextualSpacing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方正仿宋_GBK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b/>
          <w:bCs/>
          <w:sz w:val="32"/>
          <w:szCs w:val="32"/>
        </w:rPr>
        <w:t>单位建筑面积年综合能耗（等效电量）：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在一个自然年内，建筑能耗与建筑面积的比值。单位为千瓦时每平方米每年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</w:rPr>
        <w:t>［</w:t>
      </w:r>
      <w:r>
        <w:rPr>
          <w:rFonts w:ascii="Times New Roman" w:hAnsi="Times New Roman" w:eastAsia="方正仿宋_GBK"/>
          <w:sz w:val="32"/>
          <w:szCs w:val="32"/>
        </w:rPr>
        <w:t>kW.h/( m</w:t>
      </w:r>
      <w:r>
        <w:rPr>
          <w:rFonts w:ascii="Times New Roman" w:hAnsi="Times New Roman" w:eastAsia="方正仿宋_GBK"/>
          <w:sz w:val="32"/>
          <w:szCs w:val="32"/>
          <w:vertAlign w:val="superscript"/>
        </w:rPr>
        <w:t>2</w:t>
      </w:r>
      <w:r>
        <w:rPr>
          <w:rFonts w:ascii="Times New Roman" w:hAnsi="Times New Roman" w:eastAsia="方正仿宋_GBK"/>
          <w:sz w:val="32"/>
          <w:szCs w:val="32"/>
        </w:rPr>
        <w:t>•a)］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pStyle w:val="13"/>
        <w:widowControl/>
        <w:spacing w:line="420" w:lineRule="exact"/>
        <w:ind w:firstLine="640"/>
        <w:contextualSpacing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4</w:t>
      </w:r>
      <w:r>
        <w:rPr>
          <w:rFonts w:hint="eastAsia" w:ascii="Times New Roman" w:hAnsi="Times New Roman" w:eastAsia="方正仿宋_GBK"/>
          <w:b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b/>
          <w:sz w:val="32"/>
          <w:szCs w:val="32"/>
        </w:rPr>
        <w:t>约束值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公共建筑正常运行所允许消耗的能耗指标上限值。</w:t>
      </w:r>
    </w:p>
    <w:p>
      <w:pPr>
        <w:pStyle w:val="13"/>
        <w:widowControl/>
        <w:spacing w:line="420" w:lineRule="exact"/>
        <w:ind w:firstLine="64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5</w:t>
      </w:r>
      <w:r>
        <w:rPr>
          <w:rFonts w:hint="eastAsia" w:ascii="Times New Roman" w:hAnsi="Times New Roman" w:eastAsia="方正仿宋_GBK"/>
          <w:b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b/>
          <w:sz w:val="32"/>
          <w:szCs w:val="32"/>
        </w:rPr>
        <w:t>引导值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公共建筑正常运行的前提下，能效提升的目标值。</w:t>
      </w:r>
    </w:p>
    <w:p>
      <w:pPr>
        <w:spacing w:line="420" w:lineRule="exact"/>
        <w:ind w:firstLine="560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  <w:t>二、常用能源折标参考系数</w:t>
      </w:r>
    </w:p>
    <w:p>
      <w:pPr>
        <w:autoSpaceDE w:val="0"/>
        <w:autoSpaceDN w:val="0"/>
        <w:adjustRightInd w:val="0"/>
        <w:spacing w:line="420" w:lineRule="exact"/>
        <w:ind w:firstLine="622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各种能源折算标准煤参考系数参见下表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tbl>
      <w:tblPr>
        <w:tblStyle w:val="7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64"/>
        <w:gridCol w:w="2874"/>
        <w:gridCol w:w="2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843" w:type="pct"/>
          </w:tcPr>
          <w:p>
            <w:pPr>
              <w:pStyle w:val="14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能源名称</w:t>
            </w:r>
          </w:p>
        </w:tc>
        <w:tc>
          <w:tcPr>
            <w:tcW w:w="1623" w:type="pct"/>
            <w:tcBorders>
              <w:left w:val="nil"/>
            </w:tcBorders>
          </w:tcPr>
          <w:p>
            <w:pPr>
              <w:pStyle w:val="14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系数单位</w:t>
            </w:r>
          </w:p>
        </w:tc>
        <w:tc>
          <w:tcPr>
            <w:tcW w:w="1534" w:type="pct"/>
            <w:tcBorders>
              <w:left w:val="nil"/>
            </w:tcBorders>
          </w:tcPr>
          <w:p>
            <w:pPr>
              <w:pStyle w:val="14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折算标准煤系数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843" w:type="pct"/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sz w:val="28"/>
                <w:szCs w:val="28"/>
              </w:rPr>
              <w:t>电力（当量值）</w:t>
            </w:r>
          </w:p>
        </w:tc>
        <w:tc>
          <w:tcPr>
            <w:tcW w:w="1623" w:type="pct"/>
            <w:tcBorders>
              <w:left w:val="nil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kgce/kWh</w:t>
            </w:r>
          </w:p>
        </w:tc>
        <w:tc>
          <w:tcPr>
            <w:tcW w:w="1534" w:type="pct"/>
            <w:tcBorders>
              <w:left w:val="nil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0.1229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843" w:type="pct"/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sz w:val="28"/>
                <w:szCs w:val="28"/>
              </w:rPr>
              <w:t>电力（等价值）</w:t>
            </w:r>
          </w:p>
        </w:tc>
        <w:tc>
          <w:tcPr>
            <w:tcW w:w="1623" w:type="pct"/>
            <w:tcBorders>
              <w:left w:val="nil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kgce/kWh</w:t>
            </w:r>
          </w:p>
        </w:tc>
        <w:tc>
          <w:tcPr>
            <w:tcW w:w="1534" w:type="pct"/>
            <w:tcBorders>
              <w:left w:val="nil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0.3000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843" w:type="pct"/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sz w:val="28"/>
                <w:szCs w:val="28"/>
              </w:rPr>
              <w:t>天然气</w:t>
            </w:r>
          </w:p>
        </w:tc>
        <w:tc>
          <w:tcPr>
            <w:tcW w:w="1623" w:type="pct"/>
            <w:tcBorders>
              <w:left w:val="nil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kgce/m</w:t>
            </w:r>
            <w:r>
              <w:rPr>
                <w:rFonts w:ascii="Times New Roman" w:hAnsi="Times New Roman" w:eastAsia="仿宋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34" w:type="pct"/>
            <w:tcBorders>
              <w:left w:val="nil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1.3300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843" w:type="pct"/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sz w:val="28"/>
                <w:szCs w:val="28"/>
              </w:rPr>
              <w:t>饱和蒸汽</w:t>
            </w:r>
          </w:p>
        </w:tc>
        <w:tc>
          <w:tcPr>
            <w:tcW w:w="1623" w:type="pct"/>
            <w:tcBorders>
              <w:left w:val="nil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kgce/MJ</w:t>
            </w:r>
          </w:p>
        </w:tc>
        <w:tc>
          <w:tcPr>
            <w:tcW w:w="1534" w:type="pct"/>
            <w:tcBorders>
              <w:left w:val="nil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0.0341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2" w:hRule="atLeast"/>
          <w:jc w:val="center"/>
        </w:trPr>
        <w:tc>
          <w:tcPr>
            <w:tcW w:w="1843" w:type="pct"/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sz w:val="28"/>
                <w:szCs w:val="28"/>
              </w:rPr>
              <w:t>饱和蒸汽（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1.0MPa</w:t>
            </w:r>
            <w:r>
              <w:rPr>
                <w:rFonts w:hint="eastAsia" w:ascii="Times New Roman" w:hAnsi="仿宋" w:eastAsia="仿宋"/>
                <w:sz w:val="28"/>
                <w:szCs w:val="28"/>
              </w:rPr>
              <w:t>）</w:t>
            </w:r>
          </w:p>
        </w:tc>
        <w:tc>
          <w:tcPr>
            <w:tcW w:w="1623" w:type="pct"/>
            <w:tcBorders>
              <w:left w:val="nil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kgce/t</w:t>
            </w:r>
          </w:p>
        </w:tc>
        <w:tc>
          <w:tcPr>
            <w:tcW w:w="1534" w:type="pct"/>
            <w:tcBorders>
              <w:left w:val="nil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91.2414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843" w:type="pct"/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sz w:val="28"/>
                <w:szCs w:val="28"/>
              </w:rPr>
              <w:t>饱和蒸汽（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0.3MPa</w:t>
            </w:r>
            <w:r>
              <w:rPr>
                <w:rFonts w:hint="eastAsia" w:ascii="Times New Roman" w:hAnsi="仿宋" w:eastAsia="仿宋"/>
                <w:sz w:val="28"/>
                <w:szCs w:val="28"/>
              </w:rPr>
              <w:t>）</w:t>
            </w:r>
          </w:p>
        </w:tc>
        <w:tc>
          <w:tcPr>
            <w:tcW w:w="1623" w:type="pct"/>
            <w:tcBorders>
              <w:left w:val="nil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kgce/t</w:t>
            </w:r>
          </w:p>
        </w:tc>
        <w:tc>
          <w:tcPr>
            <w:tcW w:w="1534" w:type="pct"/>
            <w:tcBorders>
              <w:left w:val="nil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89.5227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843" w:type="pct"/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sz w:val="28"/>
                <w:szCs w:val="28"/>
              </w:rPr>
              <w:t>原煤</w:t>
            </w:r>
          </w:p>
        </w:tc>
        <w:tc>
          <w:tcPr>
            <w:tcW w:w="1623" w:type="pct"/>
            <w:tcBorders>
              <w:left w:val="nil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kgce/kg</w:t>
            </w:r>
          </w:p>
        </w:tc>
        <w:tc>
          <w:tcPr>
            <w:tcW w:w="1534" w:type="pct"/>
            <w:tcBorders>
              <w:left w:val="nil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0.7143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843" w:type="pct"/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sz w:val="28"/>
                <w:szCs w:val="28"/>
              </w:rPr>
              <w:t>液化石油气</w:t>
            </w:r>
          </w:p>
        </w:tc>
        <w:tc>
          <w:tcPr>
            <w:tcW w:w="1623" w:type="pct"/>
            <w:tcBorders>
              <w:left w:val="nil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kgce/kg</w:t>
            </w:r>
          </w:p>
        </w:tc>
        <w:tc>
          <w:tcPr>
            <w:tcW w:w="1534" w:type="pct"/>
            <w:tcBorders>
              <w:left w:val="nil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1.7143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843" w:type="pct"/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sz w:val="28"/>
                <w:szCs w:val="28"/>
              </w:rPr>
              <w:t>汽油</w:t>
            </w:r>
          </w:p>
        </w:tc>
        <w:tc>
          <w:tcPr>
            <w:tcW w:w="1623" w:type="pct"/>
            <w:tcBorders>
              <w:left w:val="nil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kgce/kg</w:t>
            </w:r>
          </w:p>
        </w:tc>
        <w:tc>
          <w:tcPr>
            <w:tcW w:w="1534" w:type="pct"/>
            <w:tcBorders>
              <w:left w:val="nil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1.4714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843" w:type="pct"/>
            <w:tcBorders>
              <w:bottom w:val="single" w:color="auto" w:sz="4" w:space="0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sz w:val="28"/>
                <w:szCs w:val="28"/>
              </w:rPr>
              <w:t>柴油</w:t>
            </w:r>
          </w:p>
        </w:tc>
        <w:tc>
          <w:tcPr>
            <w:tcW w:w="1623" w:type="pct"/>
            <w:tcBorders>
              <w:left w:val="nil"/>
              <w:bottom w:val="single" w:color="auto" w:sz="4" w:space="0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kgce/kg</w:t>
            </w:r>
          </w:p>
        </w:tc>
        <w:tc>
          <w:tcPr>
            <w:tcW w:w="1534" w:type="pct"/>
            <w:tcBorders>
              <w:left w:val="nil"/>
              <w:bottom w:val="single" w:color="auto" w:sz="4" w:space="0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1.4571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sz w:val="28"/>
                <w:szCs w:val="28"/>
              </w:rPr>
              <w:t>燃料油</w:t>
            </w:r>
          </w:p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kgce/kg</w:t>
            </w:r>
          </w:p>
        </w:tc>
        <w:tc>
          <w:tcPr>
            <w:tcW w:w="1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1.4286</w:t>
            </w:r>
          </w:p>
        </w:tc>
      </w:tr>
    </w:tbl>
    <w:p>
      <w:pPr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line="600" w:lineRule="exact"/>
        <w:rPr>
          <w:rFonts w:ascii="Times New Roman" w:hAnsi="Times New Roman" w:eastAsia="仿宋_GB2312"/>
          <w:sz w:val="28"/>
          <w:szCs w:val="28"/>
        </w:rPr>
      </w:pPr>
    </w:p>
    <w:p>
      <w:pPr>
        <w:pBdr>
          <w:top w:val="single" w:color="auto" w:sz="4" w:space="1"/>
          <w:bottom w:val="single" w:color="auto" w:sz="4" w:space="1"/>
        </w:pBdr>
        <w:spacing w:line="600" w:lineRule="exact"/>
        <w:rPr>
          <w:szCs w:val="21"/>
        </w:rPr>
      </w:pPr>
      <w:r>
        <w:rPr>
          <w:rFonts w:ascii="Times New Roman" w:hAnsi="Times New Roman" w:eastAsia="仿宋_GB2312"/>
          <w:sz w:val="28"/>
          <w:szCs w:val="28"/>
        </w:rPr>
        <w:t xml:space="preserve">  连云港市住房和城乡建设局办公室  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20</w:t>
      </w:r>
      <w:r>
        <w:rPr>
          <w:rFonts w:hint="eastAsia" w:ascii="Times New Roman" w:hAnsi="Times New Roman" w:eastAsia="仿宋_GB2312"/>
          <w:sz w:val="28"/>
          <w:szCs w:val="28"/>
        </w:rPr>
        <w:t>22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</w:rPr>
        <w:t>1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14</w:t>
      </w:r>
      <w:r>
        <w:rPr>
          <w:rFonts w:ascii="Times New Roman" w:hAnsi="Times New Roman" w:eastAsia="仿宋_GB2312"/>
          <w:sz w:val="28"/>
          <w:szCs w:val="28"/>
        </w:rPr>
        <w:t>日印发</w:t>
      </w:r>
      <w:r>
        <w:rPr>
          <w:rFonts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-13439775</wp:posOffset>
                </wp:positionV>
                <wp:extent cx="5572125" cy="635"/>
                <wp:effectExtent l="0" t="0" r="0" b="0"/>
                <wp:wrapNone/>
                <wp:docPr id="2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2.25pt;margin-top:-1058.25pt;height:0.05pt;width:438.75pt;z-index:251660288;mso-width-relative:page;mso-height-relative:page;" filled="f" stroked="t" coordsize="21600,21600" o:gfxdata="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SbG3dkAAAANAQAADwAAAAAAAAABACAAAAAiAAAAZHJzL2Rvd25yZXYueG1sUEsBAhQAFAAA&#10;AAgAh07iQIkIT0fuAQAA7AMAAA4AAAAAAAAAAQAgAAAAK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481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84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eastAsia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SJnjx9wBAAC+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eastAsia="微软雅黑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eastAsia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Y9d8RtwBAAC+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eastAsia="微软雅黑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F03D50"/>
    <w:multiLevelType w:val="multilevel"/>
    <w:tmpl w:val="20F03D5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evenAndOddHeaders w:val="1"/>
  <w:drawingGridHorizontalSpacing w:val="201"/>
  <w:drawingGridVerticalSpacing w:val="481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95"/>
    <w:rsid w:val="0000605A"/>
    <w:rsid w:val="00011173"/>
    <w:rsid w:val="00013CA3"/>
    <w:rsid w:val="00016461"/>
    <w:rsid w:val="000312D8"/>
    <w:rsid w:val="00072450"/>
    <w:rsid w:val="00073A33"/>
    <w:rsid w:val="00074698"/>
    <w:rsid w:val="00074A50"/>
    <w:rsid w:val="00080486"/>
    <w:rsid w:val="000853BC"/>
    <w:rsid w:val="000A0AE1"/>
    <w:rsid w:val="000A60AA"/>
    <w:rsid w:val="000B3DE1"/>
    <w:rsid w:val="000C5AEA"/>
    <w:rsid w:val="000D2173"/>
    <w:rsid w:val="000D5797"/>
    <w:rsid w:val="001072CD"/>
    <w:rsid w:val="00107D6E"/>
    <w:rsid w:val="00142D14"/>
    <w:rsid w:val="00145712"/>
    <w:rsid w:val="00146E58"/>
    <w:rsid w:val="00165C71"/>
    <w:rsid w:val="001B1A6D"/>
    <w:rsid w:val="001B4897"/>
    <w:rsid w:val="001B5DA3"/>
    <w:rsid w:val="001C19EA"/>
    <w:rsid w:val="001D14E7"/>
    <w:rsid w:val="001D60BA"/>
    <w:rsid w:val="001E13F8"/>
    <w:rsid w:val="001E2498"/>
    <w:rsid w:val="00200A7C"/>
    <w:rsid w:val="00200C11"/>
    <w:rsid w:val="00224BD0"/>
    <w:rsid w:val="00236ED8"/>
    <w:rsid w:val="0025441D"/>
    <w:rsid w:val="00257D0A"/>
    <w:rsid w:val="00263C85"/>
    <w:rsid w:val="002641F8"/>
    <w:rsid w:val="002875FA"/>
    <w:rsid w:val="00291195"/>
    <w:rsid w:val="002A6DDE"/>
    <w:rsid w:val="002B0217"/>
    <w:rsid w:val="002B3237"/>
    <w:rsid w:val="002C09F4"/>
    <w:rsid w:val="002C7B5C"/>
    <w:rsid w:val="00312EB5"/>
    <w:rsid w:val="0034580A"/>
    <w:rsid w:val="0034660A"/>
    <w:rsid w:val="003475D5"/>
    <w:rsid w:val="00355FC6"/>
    <w:rsid w:val="0035637F"/>
    <w:rsid w:val="0037083C"/>
    <w:rsid w:val="003A6186"/>
    <w:rsid w:val="003D6FDF"/>
    <w:rsid w:val="0040228A"/>
    <w:rsid w:val="00433220"/>
    <w:rsid w:val="0044383F"/>
    <w:rsid w:val="00443FAD"/>
    <w:rsid w:val="004636AC"/>
    <w:rsid w:val="00476047"/>
    <w:rsid w:val="00490C67"/>
    <w:rsid w:val="004C4BA7"/>
    <w:rsid w:val="004E7AA6"/>
    <w:rsid w:val="004F122F"/>
    <w:rsid w:val="004F4D68"/>
    <w:rsid w:val="0050785E"/>
    <w:rsid w:val="005103D7"/>
    <w:rsid w:val="00515847"/>
    <w:rsid w:val="00520560"/>
    <w:rsid w:val="005261F1"/>
    <w:rsid w:val="005349DF"/>
    <w:rsid w:val="00544F72"/>
    <w:rsid w:val="00550567"/>
    <w:rsid w:val="00577796"/>
    <w:rsid w:val="00581114"/>
    <w:rsid w:val="0058314D"/>
    <w:rsid w:val="0058465D"/>
    <w:rsid w:val="00586BD8"/>
    <w:rsid w:val="005900F7"/>
    <w:rsid w:val="005A1F6E"/>
    <w:rsid w:val="005B7DB5"/>
    <w:rsid w:val="005C58FB"/>
    <w:rsid w:val="005D51C2"/>
    <w:rsid w:val="005E09F0"/>
    <w:rsid w:val="005F7E37"/>
    <w:rsid w:val="0061567B"/>
    <w:rsid w:val="00631274"/>
    <w:rsid w:val="00641602"/>
    <w:rsid w:val="00642810"/>
    <w:rsid w:val="006654FE"/>
    <w:rsid w:val="006711A0"/>
    <w:rsid w:val="00677DC0"/>
    <w:rsid w:val="0068621D"/>
    <w:rsid w:val="006A4A9E"/>
    <w:rsid w:val="006A4B50"/>
    <w:rsid w:val="006A5E59"/>
    <w:rsid w:val="006B4A00"/>
    <w:rsid w:val="006D2E86"/>
    <w:rsid w:val="006D5E4A"/>
    <w:rsid w:val="006E3400"/>
    <w:rsid w:val="006E636D"/>
    <w:rsid w:val="006F38B1"/>
    <w:rsid w:val="0072313F"/>
    <w:rsid w:val="00743E62"/>
    <w:rsid w:val="00744C4A"/>
    <w:rsid w:val="0074729F"/>
    <w:rsid w:val="00754BBD"/>
    <w:rsid w:val="00767FA1"/>
    <w:rsid w:val="00782F05"/>
    <w:rsid w:val="00791F54"/>
    <w:rsid w:val="00797C21"/>
    <w:rsid w:val="007B4F5A"/>
    <w:rsid w:val="007C50E9"/>
    <w:rsid w:val="007D6735"/>
    <w:rsid w:val="007E6B68"/>
    <w:rsid w:val="00800993"/>
    <w:rsid w:val="0080211E"/>
    <w:rsid w:val="00811513"/>
    <w:rsid w:val="00830101"/>
    <w:rsid w:val="00836C33"/>
    <w:rsid w:val="00861597"/>
    <w:rsid w:val="008623E2"/>
    <w:rsid w:val="00884B2D"/>
    <w:rsid w:val="008858E7"/>
    <w:rsid w:val="008901FB"/>
    <w:rsid w:val="008A6A09"/>
    <w:rsid w:val="008A7876"/>
    <w:rsid w:val="008D3D99"/>
    <w:rsid w:val="008D5871"/>
    <w:rsid w:val="008F11AC"/>
    <w:rsid w:val="0091089A"/>
    <w:rsid w:val="00912F51"/>
    <w:rsid w:val="009156C8"/>
    <w:rsid w:val="00924747"/>
    <w:rsid w:val="00944CEC"/>
    <w:rsid w:val="009450A7"/>
    <w:rsid w:val="009477D3"/>
    <w:rsid w:val="00950040"/>
    <w:rsid w:val="00950883"/>
    <w:rsid w:val="00954D08"/>
    <w:rsid w:val="0096349F"/>
    <w:rsid w:val="00975402"/>
    <w:rsid w:val="00985843"/>
    <w:rsid w:val="009900CF"/>
    <w:rsid w:val="00991D51"/>
    <w:rsid w:val="009A5DD2"/>
    <w:rsid w:val="009B5357"/>
    <w:rsid w:val="009C2F26"/>
    <w:rsid w:val="009D3615"/>
    <w:rsid w:val="009D5B34"/>
    <w:rsid w:val="009E7B6D"/>
    <w:rsid w:val="009F755D"/>
    <w:rsid w:val="00A12007"/>
    <w:rsid w:val="00A14B3C"/>
    <w:rsid w:val="00A21CB5"/>
    <w:rsid w:val="00A24EB4"/>
    <w:rsid w:val="00A333D0"/>
    <w:rsid w:val="00A4533F"/>
    <w:rsid w:val="00AA154F"/>
    <w:rsid w:val="00AC109D"/>
    <w:rsid w:val="00AC39CA"/>
    <w:rsid w:val="00AD178E"/>
    <w:rsid w:val="00AD63F2"/>
    <w:rsid w:val="00AE17AE"/>
    <w:rsid w:val="00AF1F84"/>
    <w:rsid w:val="00AF4FB6"/>
    <w:rsid w:val="00B0717B"/>
    <w:rsid w:val="00B11463"/>
    <w:rsid w:val="00B22480"/>
    <w:rsid w:val="00B32FA7"/>
    <w:rsid w:val="00B521F6"/>
    <w:rsid w:val="00B55BEB"/>
    <w:rsid w:val="00B74819"/>
    <w:rsid w:val="00B81E20"/>
    <w:rsid w:val="00B92761"/>
    <w:rsid w:val="00BB7783"/>
    <w:rsid w:val="00BC0996"/>
    <w:rsid w:val="00BC7EFB"/>
    <w:rsid w:val="00BE058A"/>
    <w:rsid w:val="00BF78F5"/>
    <w:rsid w:val="00C16702"/>
    <w:rsid w:val="00C22E38"/>
    <w:rsid w:val="00C31C9B"/>
    <w:rsid w:val="00C34013"/>
    <w:rsid w:val="00C51465"/>
    <w:rsid w:val="00C841EF"/>
    <w:rsid w:val="00C85530"/>
    <w:rsid w:val="00C8568B"/>
    <w:rsid w:val="00C91BEE"/>
    <w:rsid w:val="00C92CCD"/>
    <w:rsid w:val="00C93AC4"/>
    <w:rsid w:val="00C93D45"/>
    <w:rsid w:val="00CA7F51"/>
    <w:rsid w:val="00CB0E81"/>
    <w:rsid w:val="00CB5A9E"/>
    <w:rsid w:val="00CC0C12"/>
    <w:rsid w:val="00CE2F19"/>
    <w:rsid w:val="00CF346B"/>
    <w:rsid w:val="00D21294"/>
    <w:rsid w:val="00D21B76"/>
    <w:rsid w:val="00D3276F"/>
    <w:rsid w:val="00D417CF"/>
    <w:rsid w:val="00D612D0"/>
    <w:rsid w:val="00D72911"/>
    <w:rsid w:val="00D951AB"/>
    <w:rsid w:val="00DB7FCC"/>
    <w:rsid w:val="00DC156C"/>
    <w:rsid w:val="00DD5015"/>
    <w:rsid w:val="00E0333A"/>
    <w:rsid w:val="00E16507"/>
    <w:rsid w:val="00E333B2"/>
    <w:rsid w:val="00E47AF2"/>
    <w:rsid w:val="00E51949"/>
    <w:rsid w:val="00E5619F"/>
    <w:rsid w:val="00E5791C"/>
    <w:rsid w:val="00E61E03"/>
    <w:rsid w:val="00E642B4"/>
    <w:rsid w:val="00EA5205"/>
    <w:rsid w:val="00EB57D9"/>
    <w:rsid w:val="00EC3FD3"/>
    <w:rsid w:val="00ED622C"/>
    <w:rsid w:val="00EE0E2C"/>
    <w:rsid w:val="00EE1969"/>
    <w:rsid w:val="00EF6CDF"/>
    <w:rsid w:val="00F10243"/>
    <w:rsid w:val="00F111FA"/>
    <w:rsid w:val="00F25331"/>
    <w:rsid w:val="00F32489"/>
    <w:rsid w:val="00F55D43"/>
    <w:rsid w:val="00F63DC0"/>
    <w:rsid w:val="00F65FF8"/>
    <w:rsid w:val="00F729EC"/>
    <w:rsid w:val="00F85144"/>
    <w:rsid w:val="00FA3444"/>
    <w:rsid w:val="00FB6E37"/>
    <w:rsid w:val="00FC0999"/>
    <w:rsid w:val="00FC57C1"/>
    <w:rsid w:val="00FD4164"/>
    <w:rsid w:val="00FF5FC9"/>
    <w:rsid w:val="023A66C6"/>
    <w:rsid w:val="03690CE4"/>
    <w:rsid w:val="1C8D4426"/>
    <w:rsid w:val="1F3A7B4B"/>
    <w:rsid w:val="23F30A91"/>
    <w:rsid w:val="25102021"/>
    <w:rsid w:val="2AEE3492"/>
    <w:rsid w:val="2C2F19B5"/>
    <w:rsid w:val="2DA02EE8"/>
    <w:rsid w:val="37DD6C7B"/>
    <w:rsid w:val="45D25817"/>
    <w:rsid w:val="4BB73C10"/>
    <w:rsid w:val="4DC31516"/>
    <w:rsid w:val="537F2233"/>
    <w:rsid w:val="544B6F9E"/>
    <w:rsid w:val="5D964B36"/>
    <w:rsid w:val="5E4B16D0"/>
    <w:rsid w:val="5EC24654"/>
    <w:rsid w:val="5ED42FA6"/>
    <w:rsid w:val="64B940F2"/>
    <w:rsid w:val="6D317DF2"/>
    <w:rsid w:val="70CD5179"/>
    <w:rsid w:val="7285772D"/>
    <w:rsid w:val="736E56DC"/>
    <w:rsid w:val="775E5B74"/>
    <w:rsid w:val="77C02A00"/>
    <w:rsid w:val="7B1B39CF"/>
    <w:rsid w:val="7E393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00"/>
    </w:pPr>
    <w:rPr>
      <w:rFonts w:ascii="黑体" w:eastAsia="黑体"/>
      <w:sz w:val="36"/>
      <w:szCs w:val="32"/>
    </w:rPr>
  </w:style>
  <w:style w:type="paragraph" w:styleId="3">
    <w:name w:val="Balloon Text"/>
    <w:basedOn w:val="1"/>
    <w:link w:val="16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微软雅黑" w:cs="方正小标宋_GBK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等线" w:hAnsi="等线" w:eastAsia="等线"/>
      <w:szCs w:val="22"/>
    </w:rPr>
  </w:style>
  <w:style w:type="paragraph" w:styleId="14">
    <w:name w:val="No Spacing"/>
    <w:link w:val="15"/>
    <w:qFormat/>
    <w:uiPriority w:val="99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15">
    <w:name w:val="无间隔 Char"/>
    <w:basedOn w:val="9"/>
    <w:link w:val="14"/>
    <w:locked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16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76B3AE-477D-42E7-8081-5B636CF45A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198</Words>
  <Characters>1132</Characters>
  <Lines>9</Lines>
  <Paragraphs>2</Paragraphs>
  <TotalTime>2</TotalTime>
  <ScaleCrop>false</ScaleCrop>
  <LinksUpToDate>false</LinksUpToDate>
  <CharactersWithSpaces>1328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2019-09-16T03:32:00Z</dcterms:created>
  <dc:creator>Billgates</dc:creator>
  <cp:lastModifiedBy>大白奶糖</cp:lastModifiedBy>
  <cp:lastPrinted>2016-05-26T02:05:00Z</cp:lastPrinted>
  <dcterms:modified xsi:type="dcterms:W3CDTF">2022-01-17T06:57:47Z</dcterms:modified>
  <dc:title>徐州市财政局文件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C7D4CD5B62DA4EEDA7DA8E6F40D0B302</vt:lpwstr>
  </property>
</Properties>
</file>